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5B" w:rsidRPr="00F4397F" w:rsidRDefault="0068655B" w:rsidP="00802942">
      <w:pPr>
        <w:spacing w:after="200" w:line="276" w:lineRule="auto"/>
        <w:jc w:val="both"/>
        <w:rPr>
          <w:rFonts w:asciiTheme="minorHAnsi" w:hAnsiTheme="minorHAnsi"/>
          <w:szCs w:val="24"/>
        </w:rPr>
      </w:pPr>
    </w:p>
    <w:p w:rsidR="00F4397F" w:rsidRDefault="00F4397F" w:rsidP="00802942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Calibri"/>
          <w:b/>
          <w:bCs/>
          <w:sz w:val="64"/>
          <w:szCs w:val="64"/>
        </w:rPr>
      </w:pPr>
    </w:p>
    <w:p w:rsidR="00F4397F" w:rsidRDefault="00F4397F" w:rsidP="00802942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Calibri"/>
          <w:b/>
          <w:bCs/>
          <w:sz w:val="64"/>
          <w:szCs w:val="64"/>
        </w:rPr>
      </w:pPr>
    </w:p>
    <w:p w:rsidR="00F4397F" w:rsidRPr="00F4397F" w:rsidRDefault="00802942" w:rsidP="00802942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Calibri"/>
          <w:b/>
          <w:bCs/>
          <w:sz w:val="64"/>
          <w:szCs w:val="64"/>
        </w:rPr>
      </w:pPr>
      <w:r>
        <w:rPr>
          <w:rFonts w:asciiTheme="minorHAnsi" w:hAnsiTheme="minorHAnsi" w:cs="Calibri"/>
          <w:b/>
          <w:bCs/>
          <w:sz w:val="64"/>
          <w:szCs w:val="64"/>
        </w:rPr>
        <w:t>Linee Guida</w:t>
      </w:r>
    </w:p>
    <w:p w:rsidR="00F4397F" w:rsidRPr="00F4397F" w:rsidRDefault="00802942" w:rsidP="00802942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Calibri"/>
          <w:b/>
          <w:bCs/>
          <w:sz w:val="64"/>
          <w:szCs w:val="64"/>
        </w:rPr>
      </w:pPr>
      <w:r>
        <w:rPr>
          <w:rFonts w:asciiTheme="minorHAnsi" w:hAnsiTheme="minorHAnsi" w:cs="Calibri"/>
          <w:b/>
          <w:bCs/>
          <w:sz w:val="64"/>
          <w:szCs w:val="64"/>
        </w:rPr>
        <w:t>per la Gestione degli Open Data</w:t>
      </w:r>
    </w:p>
    <w:p w:rsidR="00F4397F" w:rsidRPr="00F4397F" w:rsidRDefault="00F4397F" w:rsidP="00802942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Calibri"/>
          <w:b/>
          <w:bCs/>
          <w:color w:val="1F497D"/>
          <w:sz w:val="48"/>
          <w:szCs w:val="48"/>
        </w:rPr>
      </w:pPr>
    </w:p>
    <w:p w:rsidR="00F4397F" w:rsidRPr="00F4397F" w:rsidRDefault="00F4397F" w:rsidP="00802942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Calibri"/>
          <w:b/>
          <w:bCs/>
          <w:color w:val="1F497D"/>
          <w:sz w:val="48"/>
          <w:szCs w:val="48"/>
        </w:rPr>
      </w:pPr>
      <w:r w:rsidRPr="00F4397F">
        <w:rPr>
          <w:rFonts w:asciiTheme="minorHAnsi" w:hAnsiTheme="minorHAnsi" w:cs="Calibri"/>
          <w:b/>
          <w:bCs/>
          <w:color w:val="1F497D"/>
          <w:sz w:val="48"/>
          <w:szCs w:val="48"/>
        </w:rPr>
        <w:t>Città di Reggio Calabria</w:t>
      </w:r>
    </w:p>
    <w:p w:rsidR="00F4397F" w:rsidRPr="00F4397F" w:rsidRDefault="00F4397F" w:rsidP="00802942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Calibri"/>
          <w:b/>
          <w:bCs/>
          <w:color w:val="1F497D"/>
          <w:sz w:val="48"/>
          <w:szCs w:val="48"/>
        </w:rPr>
      </w:pPr>
    </w:p>
    <w:p w:rsidR="00F4397F" w:rsidRPr="00F4397F" w:rsidRDefault="00F4397F" w:rsidP="00802942">
      <w:pPr>
        <w:spacing w:after="200" w:line="276" w:lineRule="auto"/>
        <w:jc w:val="both"/>
        <w:rPr>
          <w:rFonts w:asciiTheme="minorHAnsi" w:hAnsiTheme="minorHAnsi" w:cs="Cambria"/>
          <w:b/>
          <w:bCs/>
          <w:color w:val="365F92"/>
          <w:sz w:val="28"/>
          <w:szCs w:val="28"/>
        </w:rPr>
      </w:pPr>
      <w:r w:rsidRPr="00F4397F">
        <w:rPr>
          <w:rFonts w:asciiTheme="minorHAnsi" w:hAnsiTheme="minorHAnsi" w:cs="Cambria"/>
          <w:b/>
          <w:bCs/>
          <w:color w:val="365F92"/>
          <w:sz w:val="28"/>
          <w:szCs w:val="28"/>
        </w:rPr>
        <w:br w:type="page"/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ambria"/>
          <w:b/>
          <w:bCs/>
          <w:color w:val="365F92"/>
          <w:sz w:val="28"/>
          <w:szCs w:val="28"/>
        </w:rPr>
      </w:pPr>
      <w:r w:rsidRPr="00F4397F">
        <w:rPr>
          <w:rFonts w:asciiTheme="minorHAnsi" w:hAnsiTheme="minorHAnsi" w:cs="Cambria"/>
          <w:b/>
          <w:bCs/>
          <w:color w:val="365F92"/>
          <w:sz w:val="28"/>
          <w:szCs w:val="28"/>
        </w:rPr>
        <w:lastRenderedPageBreak/>
        <w:t>Sommario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Premessa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Metodologia: Open Data Management </w:t>
      </w:r>
      <w:proofErr w:type="spellStart"/>
      <w:r w:rsidRPr="00F4397F">
        <w:rPr>
          <w:rFonts w:asciiTheme="minorHAnsi" w:hAnsiTheme="minorHAnsi" w:cs="Segoe UI"/>
          <w:color w:val="000000"/>
        </w:rPr>
        <w:t>Cycle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Modello dei Processi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Modello Informativo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Il ciclo di vita del patrimonio informativo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Scheda di raccolta delle informazioni per i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Modello Organizzativo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Responsabile Strategia Open Data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Responsabile Open Data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Responsabile Tutela Dati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Responsabile Area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Staff Operativo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Attori sociali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1. Identificazione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1.1 Segnalazione interna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1.2 Segnalazione esterna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1.3 Identificazione del Referente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1.4 Attribuzione di un referente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1.5 Compilazione della scheda informativa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1.6 Validazione dei dati </w:t>
      </w:r>
    </w:p>
    <w:p w:rsidR="00F4397F" w:rsidRPr="00F4397F" w:rsidRDefault="00F4397F" w:rsidP="00802942">
      <w:pPr>
        <w:tabs>
          <w:tab w:val="right" w:pos="9972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1.7 Inserimento dei dati nella pipeline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2. Analisi e Pubblicazione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2.1 Analisi di riservatezza e titolarità dei dati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2.2 Archiviazione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2.3 Definizione degli obiettivi e opportunità di pubblicazione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2.4 Copyright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clearance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2.5 Analisi di completezza e qualità minima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2.6 Completamento del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2.7 Analisi del formato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2.8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Dematerializzazione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2.9 Analisi della struttura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2.10 Strutturazione del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2.11 Analisi dei dati personali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2.12 Tecniche di trattamento dei dati personali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2.13 Conversione in formato aperto </w:t>
      </w:r>
    </w:p>
    <w:p w:rsidR="00F4397F" w:rsidRPr="00F4397F" w:rsidRDefault="00F4397F" w:rsidP="00802942">
      <w:pPr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2.14 Definizione dei metadati </w:t>
      </w:r>
    </w:p>
    <w:p w:rsidR="00F4397F" w:rsidRPr="00F4397F" w:rsidRDefault="00F4397F" w:rsidP="00802942">
      <w:pPr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2.15 Applicazione della licenza d’uso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2.16 Pubblicazione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2.17 Feedback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lastRenderedPageBreak/>
        <w:t xml:space="preserve">3 Monitoraggio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3.1 Valutazione interna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3.2 Valutazione esterna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4 Mantenimento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4.1 Analisi di aderenza agli obiettivi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4.2 Diffusione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4.3 Aggiornamento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4.4 Rimozione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t xml:space="preserve">4.5 Feedback </w:t>
      </w: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i/>
          <w:iCs/>
          <w:color w:val="000000"/>
        </w:rPr>
      </w:pPr>
    </w:p>
    <w:p w:rsidR="00F4397F" w:rsidRPr="00F4397F" w:rsidRDefault="00F4397F" w:rsidP="008029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Riferimenti a normative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Calibri"/>
          <w:b/>
          <w:bCs/>
          <w:color w:val="365F92"/>
          <w:sz w:val="36"/>
          <w:szCs w:val="36"/>
        </w:rPr>
        <w:br w:type="page"/>
      </w:r>
      <w:r w:rsidRPr="00F4397F">
        <w:rPr>
          <w:rFonts w:asciiTheme="minorHAnsi" w:hAnsiTheme="minorHAnsi" w:cs="Calibri"/>
          <w:b/>
          <w:bCs/>
          <w:color w:val="365F92"/>
          <w:sz w:val="36"/>
          <w:szCs w:val="36"/>
        </w:rPr>
        <w:lastRenderedPageBreak/>
        <w:t>Premessa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Questo documento raccoglie una sintesi dello studio di fattibilità svolto.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L’iniziativa di pubblicare dati dell’Amministrazione in formato aperto e di libero utilizzo (fatto salvo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il rispetto delle licenze d’uso e della normativa sulla privacy) non è questione esclusivamente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tecnologica e informatica ma richiede una consapevole adesione e coinvolgimento dell’Ente e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suoi Organi di indirizzo politico.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Questo non tanto per gli effetti che pur ci sono nella dinamica amministrativa interna, ma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soprattutto per il rapporto diverso che si viene ad instaurare con il territorio e con la società civile,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rapporto che apre nuove e interessanti opportunità di collaborazione e di crescita economica, ma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che necessita di indirizzo, coordinamento e strategia complessiva.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Non va dimenticata, inoltre, la mole degli interventi normativi che in questi ultimi anni è stata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prodotta, soprattutto sui temi della trasparenza, della riusabilità del dato aperto.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La sezione “Riferimenti a normative, documenti esterni e allegati” riporta il quadro normativo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riferimento.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È quanto mai evidente, pertanto, che approcciare la pubblicazione dei dati in formato aperto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richiede da parte delle Pubbliche Amministrazioni una consapevole strategia che permetta alle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varie strutture di pubblicare i propri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in un contesto opportunamente organizzato allo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scopo, con assegnazione precisa di ruoli e responsabilità, con vincoli e priorità da seguire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rispettare.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 benefici futuri derivanti dall’attuazione del modello elaborato all’interno di una più ampia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Strategia Open Data definita dall’Ente sono primariamente: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Valorizzare il patrimonio informativo di ciascuna Area all’interno dell’Ente, fornendo strumenti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metodi uniformi per l’identificazione, trattamento e classificazione degli Open Data;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Allineare l’Amministrazione alle normative vigenti in materia di Open Data;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Permettere l’analisi statistica e la reportistica interna basata sugli Open Data;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Abilitare lo sviluppo di servizi basati sugli Open Data a beneficio della comunità e con ritorni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sull’Amministrazione;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Calibri"/>
          <w:b/>
          <w:bCs/>
          <w:color w:val="365F92"/>
          <w:sz w:val="36"/>
          <w:szCs w:val="36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Aumentare la consapevolezza sullo stato del territorio e predisporre azioni di controllo.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Calibri"/>
          <w:b/>
          <w:bCs/>
          <w:color w:val="365F92"/>
          <w:sz w:val="36"/>
          <w:szCs w:val="36"/>
        </w:rPr>
        <w:br w:type="page"/>
      </w:r>
      <w:r w:rsidRPr="00F4397F">
        <w:rPr>
          <w:rFonts w:asciiTheme="minorHAnsi" w:hAnsiTheme="minorHAnsi" w:cs="Calibri"/>
          <w:b/>
          <w:bCs/>
          <w:color w:val="365F92"/>
          <w:sz w:val="36"/>
          <w:szCs w:val="36"/>
        </w:rPr>
        <w:lastRenderedPageBreak/>
        <w:t xml:space="preserve">Metodologia: Open Data Management </w:t>
      </w:r>
      <w:proofErr w:type="spellStart"/>
      <w:r w:rsidRPr="00F4397F">
        <w:rPr>
          <w:rFonts w:asciiTheme="minorHAnsi" w:hAnsiTheme="minorHAnsi" w:cs="Calibri"/>
          <w:b/>
          <w:bCs/>
          <w:color w:val="365F92"/>
          <w:sz w:val="36"/>
          <w:szCs w:val="36"/>
        </w:rPr>
        <w:t>Cycle</w:t>
      </w:r>
      <w:proofErr w:type="spellEnd"/>
      <w:r w:rsidR="00802942">
        <w:rPr>
          <w:rFonts w:asciiTheme="minorHAnsi" w:hAnsiTheme="minorHAnsi" w:cs="Calibri"/>
          <w:b/>
          <w:bCs/>
          <w:color w:val="365F92"/>
          <w:sz w:val="36"/>
          <w:szCs w:val="36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La metodologia che abbiamo definito e proposto per la gestione dei dati di tipo aperto,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denominata </w:t>
      </w:r>
      <w:r w:rsidRPr="00F4397F">
        <w:rPr>
          <w:rFonts w:asciiTheme="minorHAnsi" w:hAnsiTheme="minorHAnsi" w:cs="Segoe UI"/>
          <w:b/>
          <w:bCs/>
          <w:i/>
          <w:iCs/>
          <w:color w:val="000000"/>
        </w:rPr>
        <w:t xml:space="preserve">ODMC </w:t>
      </w:r>
      <w:r w:rsidRPr="00F4397F">
        <w:rPr>
          <w:rFonts w:asciiTheme="minorHAnsi" w:hAnsiTheme="minorHAnsi" w:cs="Segoe UI"/>
          <w:color w:val="000000"/>
        </w:rPr>
        <w:t>(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Open Data Management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Cycle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– </w:t>
      </w:r>
      <w:r w:rsidRPr="00F4397F">
        <w:rPr>
          <w:rFonts w:asciiTheme="minorHAnsi" w:hAnsiTheme="minorHAnsi" w:cs="Segoe UI"/>
          <w:i/>
          <w:iCs/>
          <w:color w:val="0000FF"/>
        </w:rPr>
        <w:t>www.odmc.org</w:t>
      </w:r>
      <w:r w:rsidRPr="00F4397F">
        <w:rPr>
          <w:rFonts w:asciiTheme="minorHAnsi" w:hAnsiTheme="minorHAnsi" w:cs="Segoe UI"/>
          <w:color w:val="000000"/>
        </w:rPr>
        <w:t>), definisce un approccio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uniforme per la gestione del patrimonio informativo all’interno del Comune di Reggio Calabria al fine di orchestrare e ricondurre iniziative attuali e future in un unico programma integrato e coerente.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Tale metodologia include: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un modello dei processi,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un modello informativo,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un modello organizzativo,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conformi alle varie linee guida, normative e ai documenti già disponibili per le Pubbliche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Amministrazioni riportati nella sezione “Riferimenti a normative, documenti esterni e allegati”.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t>Modello dei Processi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Si identificano quattro macro-processi per lo sviluppo continuo e la gestione del patrimonio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informativo degli Open Data: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b/>
          <w:bCs/>
          <w:color w:val="000000"/>
        </w:rPr>
        <w:t xml:space="preserve">1. Identificazione: </w:t>
      </w:r>
      <w:r w:rsidRPr="00F4397F">
        <w:rPr>
          <w:rFonts w:asciiTheme="minorHAnsi" w:hAnsiTheme="minorHAnsi" w:cs="Segoe UI"/>
          <w:color w:val="000000"/>
        </w:rPr>
        <w:t>comprende i processi necessari all’identificazione e alla pianificazione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potenziali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presenti all’interno dell’Ente;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b/>
          <w:bCs/>
          <w:color w:val="000000"/>
        </w:rPr>
        <w:t xml:space="preserve">2. Analisi e Pubblicazione: </w:t>
      </w:r>
      <w:r w:rsidRPr="00F4397F">
        <w:rPr>
          <w:rFonts w:asciiTheme="minorHAnsi" w:hAnsiTheme="minorHAnsi" w:cs="Segoe UI"/>
          <w:color w:val="000000"/>
        </w:rPr>
        <w:t>include i processi necessari all’esecuzione del programma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gestione dei dati, attraverso l’analisi dei dati raccolti e la definizione dei metodi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pubblicazione;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b/>
          <w:bCs/>
          <w:color w:val="000000"/>
        </w:rPr>
        <w:t xml:space="preserve">3. Monitoraggio: </w:t>
      </w:r>
      <w:r w:rsidRPr="00F4397F">
        <w:rPr>
          <w:rFonts w:asciiTheme="minorHAnsi" w:hAnsiTheme="minorHAnsi" w:cs="Segoe UI"/>
          <w:color w:val="000000"/>
        </w:rPr>
        <w:t>comprende i processi necessari per il controllo, lo studio e la raccolta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risultati e dei feedback ricevuti dalle comunità interne ed esterne;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b/>
          <w:bCs/>
          <w:color w:val="000000"/>
        </w:rPr>
        <w:t xml:space="preserve">4. Mantenimento: </w:t>
      </w:r>
      <w:r w:rsidRPr="00F4397F">
        <w:rPr>
          <w:rFonts w:asciiTheme="minorHAnsi" w:hAnsiTheme="minorHAnsi" w:cs="Segoe UI"/>
          <w:color w:val="000000"/>
        </w:rPr>
        <w:t>include i processi necessari per rendere definitivi e/o migliorare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</w:rPr>
        <w:t>rappresentazione dei dati aperti.</w:t>
      </w:r>
      <w:r w:rsidR="00802942">
        <w:rPr>
          <w:rFonts w:asciiTheme="minorHAnsi" w:hAnsiTheme="minorHAnsi" w:cs="Segoe UI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</w:pPr>
      <w:r w:rsidRPr="00F4397F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4617085" cy="3051175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286" t="14366" r="36090" b="4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97F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br w:type="page"/>
      </w:r>
      <w:r w:rsidRPr="00F4397F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lastRenderedPageBreak/>
        <w:t>Modello Informativo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La metodologia promuove la gestione strutturata del Patrimonio Informativo all’interno degli Enti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della Pubblica Amministrazione attraverso la creazione e mantenimento di un piano strategico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gli Open Data e l’utilizzo di un sistema informativo di Gestione dei Dati (</w:t>
      </w:r>
      <w:r w:rsidRPr="00F4397F">
        <w:rPr>
          <w:rFonts w:asciiTheme="minorHAnsi" w:hAnsiTheme="minorHAnsi" w:cs="Segoe UI"/>
          <w:i/>
          <w:iCs/>
          <w:color w:val="000000"/>
        </w:rPr>
        <w:t>DMS, Data Management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System </w:t>
      </w:r>
      <w:r w:rsidRPr="00F4397F">
        <w:rPr>
          <w:rFonts w:asciiTheme="minorHAnsi" w:hAnsiTheme="minorHAnsi" w:cs="Segoe UI"/>
          <w:color w:val="000000"/>
        </w:rPr>
        <w:t>o semplicemente “</w:t>
      </w:r>
      <w:r w:rsidRPr="00F4397F">
        <w:rPr>
          <w:rFonts w:asciiTheme="minorHAnsi" w:hAnsiTheme="minorHAnsi" w:cs="Segoe UI"/>
          <w:i/>
          <w:iCs/>
          <w:color w:val="000000"/>
        </w:rPr>
        <w:t>Portale Open Data</w:t>
      </w:r>
      <w:r w:rsidRPr="00F4397F">
        <w:rPr>
          <w:rFonts w:asciiTheme="minorHAnsi" w:hAnsiTheme="minorHAnsi" w:cs="Segoe UI"/>
          <w:color w:val="000000"/>
        </w:rPr>
        <w:t>”) che deve supportare l’automazione della gestione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degli Open Data durante le 4 fasi dell’intero ciclo di gestione.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Il ciclo di vita del patrimonio informativo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modello di gestione dei dati ha come elemento centrale il Patrimonio Informativo che viene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censito nella fase di Identificazione. Successivamente, attraverso la fase di Analisi e Pubblicazione, 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 vengono classificati, verificati, opportunamente trattati se necessario e pubblicati. Le rimanenti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fasi di Monitoraggio e Mantenimento permettono di valutare l’efficacia dei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pubblicati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archiviare 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caduti in disuso. La figura che segue illustra il ciclo di vita dei dati all’interno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modello di gestione.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Scheda di raccolta delle informazioni per i </w:t>
      </w:r>
      <w:proofErr w:type="spellStart"/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dataset</w:t>
      </w:r>
      <w:proofErr w:type="spellEnd"/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02942" w:rsidRDefault="00F4397F" w:rsidP="00802942">
      <w:pPr>
        <w:spacing w:after="200" w:line="276" w:lineRule="auto"/>
        <w:jc w:val="center"/>
        <w:rPr>
          <w:rFonts w:asciiTheme="minorHAnsi" w:hAnsiTheme="minorHAnsi" w:cs="Segoe UI"/>
        </w:rPr>
      </w:pPr>
      <w:r w:rsidRPr="00F4397F">
        <w:rPr>
          <w:rFonts w:asciiTheme="minorHAnsi" w:hAnsiTheme="minorHAnsi" w:cs="Segoe UI"/>
          <w:color w:val="000000"/>
        </w:rPr>
        <w:t xml:space="preserve">La “Scheda informativa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” è il documento di supporto alla fase di identificazione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censimento di potenziali nuovi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. Tale documento consente di procedere all’analisi dei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per garantire che non ci siano potenziali impedimenti nel rendere i dati pubblicamente disponibili.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t>Modello Organizzativo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Il modello organizzativo proposto per la gestione degli Open Data è quello riportato nella figura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</w:rPr>
        <w:t>che segue.</w:t>
      </w:r>
      <w:r w:rsidR="00802942">
        <w:rPr>
          <w:rFonts w:asciiTheme="minorHAnsi" w:hAnsiTheme="minorHAnsi" w:cs="Segoe UI"/>
        </w:rPr>
        <w:t xml:space="preserve"> </w:t>
      </w:r>
    </w:p>
    <w:p w:rsidR="00802942" w:rsidRDefault="00F4397F" w:rsidP="00802942">
      <w:pPr>
        <w:spacing w:after="200" w:line="276" w:lineRule="auto"/>
        <w:jc w:val="center"/>
        <w:rPr>
          <w:rFonts w:asciiTheme="minorHAnsi" w:hAnsiTheme="minorHAnsi"/>
          <w:noProof/>
          <w:lang w:eastAsia="it-IT"/>
        </w:rPr>
      </w:pPr>
      <w:r w:rsidRPr="00F4397F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4282922" cy="3512916"/>
            <wp:effectExtent l="19050" t="0" r="332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156" t="36324" r="35188" b="10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22" cy="351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942">
        <w:rPr>
          <w:rFonts w:asciiTheme="minorHAnsi" w:hAnsiTheme="minorHAnsi"/>
          <w:noProof/>
          <w:lang w:eastAsia="it-IT"/>
        </w:rPr>
        <w:t xml:space="preserve"> 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</w:rPr>
        <w:lastRenderedPageBreak/>
        <w:t xml:space="preserve">La struttura può avvalersi </w:t>
      </w:r>
      <w:r w:rsidRPr="00F4397F">
        <w:rPr>
          <w:rFonts w:asciiTheme="minorHAnsi" w:hAnsiTheme="minorHAnsi" w:cs="Segoe UI"/>
          <w:color w:val="000000"/>
        </w:rPr>
        <w:t>delle competenze già esistenti all’interno dell’Amministrazione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attribuendo alle stesse i ruoli e responsabilità per la gestione degli Open Data, a meno che non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diversamente deciso in sede deliberativa. Si richiamano qui alcune caratteristiche e competenze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non derogabili nell’assegnazione delle diverse responsabilità.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Responsabile Strategia Open Data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della formulazione della Strategia Open Data e successivamente della sua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attuazione dovrà essere una figura apicale della struttura dirigenziale dell’Amministrazione. Opera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 stretta collaborazione con i Dirigenti delle varie aree. Attua il collegamento tra gli </w:t>
      </w:r>
      <w:r w:rsidRPr="00F4397F">
        <w:rPr>
          <w:rFonts w:asciiTheme="minorHAnsi" w:hAnsiTheme="minorHAnsi" w:cs="Segoe UI"/>
          <w:i/>
          <w:iCs/>
          <w:color w:val="000000"/>
        </w:rPr>
        <w:t>Organi Politici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e gli 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Organi Amministrativi </w:t>
      </w:r>
      <w:r w:rsidRPr="00F4397F">
        <w:rPr>
          <w:rFonts w:asciiTheme="minorHAnsi" w:hAnsiTheme="minorHAnsi" w:cs="Segoe UI"/>
          <w:color w:val="000000"/>
        </w:rPr>
        <w:t>e ha la funzione di attuare la strategia e le politiche degli Open Data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garantire che la Strategia sia sempre allineata con quanto approvato a livello politico.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Responsabile Open Data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Segue il ciclo di pubblicazione, di mantenimento e dell’aggiornamento degli Open Data. È una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figura professionale con competenze informatiche di tipo progettuale. È possibile che tale figura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professionale provenga dal settore ICT; in alcuni casi la delega a gestire il processo di pubblicazione degli Open Data può significare il distaccamento di questa figura presso altre Aree,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 dipendenza dalle scelte organizzative operate dall’Ente.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Responsabile Tutela Dati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È una figura chiave perché deve proteggere l’Ente da problemi relativi a pubblicazione incauta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dati, non consentita dalla legge, riservati o coperti da segreto.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Il ruolo prevede che sia data attuazione alla legge 196/03 e successive modifiche o integrazioni (da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parte del Garante o da provvedimenti legislativi) nell’ambito della comunicazione e diffusione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 personali che rientrano nella titolarità dell’Ente.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Il profilo professionale richiesto deve includere conoscenze, competenze e caratteristiche diverse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riconducibili a specifici ambiti di intervento. Il profilo deve possedere competenze giuridiche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tipiche di un avvocato/professionista specializzato in materia o comunque di un Dirigente in grado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dimostrare per titoli ed esperienze la completa conoscenza della materia visto il rischio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pesanti sanzioni verso l’Amministrazione in caso di contenziosi. In secondo luogo il profilo deve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possedere conoscenze informatiche e di analisi dei processi per poter indirizzare le opportune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tecniche di trattamento dei dati. Infine, il Responsabile Tutela Dati deve comunicare con il Titolare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per il Trattamento dei Dati in merito all’eventuale presenza di dati personali all’interno dei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 il Titolare dei Dato per le questioni di copyright e licenze d’uso.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Responsabile Area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È l’ incaricato di seguire gli Open Data presente in ogni Area/Settore dell’Ente. La sua responsabilità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sarà quella di collaborare nelle decisioni sulla strategia (cosa pubblicare, quando, con quale priorità,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etc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..) e di implementare tali decisioni con riferimento al settore di appartenenza, 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quant’altro necessario per avviare il processo di pubblicazione, curando gli aspetti gestionali interni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al suo settore di appartenenza (autorizzazioni, firma, materiali, eventuali licenze,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>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lastRenderedPageBreak/>
        <w:t>Staff Operativo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Lo staff è costituito dal personale che collabora per le attività di sviluppo, integrazione, supporto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manutenzione. All’interno dello staff dovrebbe essere presente anche un “Responsabile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Monitoraggi e Attività di Coinvolgimento degli Utenti”, che avrà quindi capacità di analisi dei dati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reportistica e si farà promotore di iniziative per migliorare la collaborazione dei cittadini,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concordandole con gli altri attori del processo Open Data.</w:t>
      </w: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Attori sociali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Gli attori sociali possono essere cittadini, organizzazioni, associazioni, comunità di sviluppatori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altri portatori di interesse (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stakeholder</w:t>
      </w:r>
      <w:proofErr w:type="spellEnd"/>
      <w:r w:rsidRPr="00F4397F">
        <w:rPr>
          <w:rFonts w:asciiTheme="minorHAnsi" w:hAnsiTheme="minorHAnsi" w:cs="Segoe UI"/>
          <w:color w:val="000000"/>
        </w:rPr>
        <w:t>) esterni all’Ente che possono contribuire con feedback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fruire liberamente dai dati aperti.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A9005B" w:rsidRDefault="00A9005B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</w:pPr>
    </w:p>
    <w:p w:rsidR="0080294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t>1. Identificazione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6165215" cy="2919730"/>
            <wp:effectExtent l="19050" t="0" r="698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259" t="23662" r="12181" b="8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291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5B" w:rsidRDefault="00A9005B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1.1 Segnalazione interna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Le risorse all’interno dell’Ente sono chiamate a segnalare in modo proattivo potenziali dati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possono diventare Open Data. Se chi segnala i dati su cui lavora quotidianamente non è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riconosciuto come il Referente per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. In tale caso, il processo 1.3 Identificazione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si occuperà di identificare il referente definitivo per la gestione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assegnarne uno se necessario. La segnalazione può avvenire in modo strutturato o non-strutturato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(attraverso conversazioni o segnalazioni informali tra colleghi). Può anche avvenire in modo attivo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(la risorsa comunica proattivamente al </w:t>
      </w:r>
      <w:r w:rsidRPr="00F4397F">
        <w:rPr>
          <w:rFonts w:asciiTheme="minorHAnsi" w:hAnsiTheme="minorHAnsi" w:cs="Segoe UI"/>
          <w:color w:val="000000"/>
        </w:rPr>
        <w:lastRenderedPageBreak/>
        <w:t xml:space="preserve">Responsabile Open Data l’esistenza di un nuovo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)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passivo (il Responsabile Open Data si informa autonomamente sull’esistenza di nuovi dati,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solitamente in concomitanza con l’avvio di nuovi progetti all’interno dell’Ente). Molto spesso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personale all’interno dell’Ente avrà difficoltà nel vedere il risultato del proprio lavoro come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potenziali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.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Chiedere loro quali informazioni vorrebbero rendere disponibili ai cittadini, o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immaginare quali applicazioni mobili potrebbero essere utili può essere un modo di aumentare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partecipazione e il flusso di dati da identificare. Il Responsabile Open Data ha quindi il compito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valutare l’input (suggerimento di un nuovo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) e cercare in modo proattivo nuove sorgenti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 in progetti esistenti, nuovi progetti o all’interno dei Piani Strategici in forma di archivi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strutturati, elenchi o base dati prodotte da software in uso nell’Ente). La prima sorgente di dati è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sito web dell’Ente, da dove possono essere identificati molti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dai file PDF, fogli di calcolo,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tabelle all’interno di documenti di testo o pagine HTML, modulistica, mappe, ecc. Inoltre, molti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“servizi online” possono contenere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di valore al loro interno.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Tutela Dati può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essere consultato in modo preliminare rispetto a dubbi su dati eventualmente coperti da segreto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stato o altri potenziali impedimenti nell’ambito della privacy o diritto d’autore, anche se nella fase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Analisi e Pubblicazione ci saranno processi specifici per controlli approfonditi.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1.2 Segnalazione esterna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 vari attori sociali (cittadini, associazioni, ecc.) sono un’importante elemento all’interno di un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modello di gestione dei dati aperti, in quanto veri destinatari dei dati pubblicati. Spesso hanno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necessità di accedere a dati su cui però sanno poco o niente in merito alla provenienza o gestione.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Anche se per i cittadini sia possibile fare richiesta di accesso ad alcuni dati per i quali abbiano un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interesse “diretto, concreto e attuale”, avvalendosi dal diritto d’accesso introdotto dalla legge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241/90 o ai dati di pubblicazione obbligatoria tramite il “diritto di accesso civico” presente nel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decreto legislativo n. 33/2013, entrambe modalità sono poco praticabili per gestire richieste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pubblicazione di nuovi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.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È comune infatti che i Portali Open Data abbiano meccanismi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interattivi che permettano agli attori sociali di poter ricercare e segnalare in modo attivo nuovi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potenziali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in modo strutturato (ad es.: attraverso un modulo di contatto) o non strutturato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(ad es.: una casella di posta dedicata alle segnalazioni).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L’Ente può anche sollecitare i vari attori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sociali registrati all’interno del Portale Open Data (o registrati in una newsletter) in modo passivo,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pubblicando o inviandogli periodicamente sondaggi che hanno l’obiettivo di stabilire nuovi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di interesse collettivo.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Open Data ha il compito di verificare e portare avanti 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segnalazioni ricevute, consultando opportunamente il Responsabile dell’Area alla quale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suggerito appartiene, il Referente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se questo è già immediatamente identificabile e/o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Responsabile Tutela Dati in modo preliminare rispetto a dubbi su dati eventualmente coperti da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segreto di stato o altri potenziali impedimenti nell’ambito della privacy o diritto d’autore, anche se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nella fase di Analisi e Pubblicazione ci siano processi specifici per controlli approfonditi.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lastRenderedPageBreak/>
        <w:t>È una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buona pratica gestire in modo continuativo ed interattivo le richieste di segnalazione esterna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informando il richiedente dello stato di avanzamento della stessa o eventualmente con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informazioni su come accedere ai dati se sono già stati pubblicati o sul perché non possono essere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pubblicati.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1.3 Identificazione del Referente </w:t>
      </w:r>
      <w:proofErr w:type="spellStart"/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Dataset</w:t>
      </w:r>
      <w:proofErr w:type="spellEnd"/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Il Responsabile Open Data a fronte di una segnalazione di identificazione di un nuovo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deve identificare primariamente la risorsa che ha la maggiore conoscenza dei dati in questione.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Tipicamente è la stessa risorsa che lavora quotidianamente nell’aggiornamento dei dati, o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gestisce la sorgente di provenienza del dato (progetto/servizio/sistema </w:t>
      </w:r>
      <w:proofErr w:type="spellStart"/>
      <w:r w:rsidRPr="00F4397F">
        <w:rPr>
          <w:rFonts w:asciiTheme="minorHAnsi" w:hAnsiTheme="minorHAnsi" w:cs="Segoe UI"/>
          <w:color w:val="000000"/>
        </w:rPr>
        <w:t>informativo…</w:t>
      </w:r>
      <w:proofErr w:type="spellEnd"/>
      <w:r w:rsidRPr="00F4397F">
        <w:rPr>
          <w:rFonts w:asciiTheme="minorHAnsi" w:hAnsiTheme="minorHAnsi" w:cs="Segoe UI"/>
          <w:color w:val="000000"/>
        </w:rPr>
        <w:t>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Per compiere questa attività se non si riesce a riconoscere immediatamente la risorsa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competenza, deve avvalersi del supporto del Responsabile dell’Area di gestione del dato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indicherà i mezzi per arrivare al referente. Una volta identificata la risorsa, deve consultarla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confermare l’effettiva gestione dei dati ed ottenere dal responsabile dell’Area la nomina definitiva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del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 dovrà essere registrata all’interno della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Checklist.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Tutela Dati e lo Staff tecnico/operativo devono essere informati sull’esito del processo.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1.4 Attribuzione di un referente </w:t>
      </w:r>
      <w:proofErr w:type="spellStart"/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dataset</w:t>
      </w:r>
      <w:proofErr w:type="spellEnd"/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In assenza dell’identificazione di un referente per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segnalato, il Responsabile Open Data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deve ricorrere al Responsabile dell’Area di appartenenza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ed ottenere la nomina di un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Referente (che dovrà essere registrata nella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Checklist), che abbia la conoscenza della natura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dei dati e che possa fornire le informazioni necessarie al successivo censimento dei dati.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Responsabile dell’Area è l’ultimo incaricato a trovare una risorsa che funga da referente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e, in caso tale identificazione non sia possibile, assume automaticamente il ruolo di Referente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(preferibile perché appartiene alla stessa Area di competenza del dato), o in alcuni casi lo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può delegare al Responsabile Open Data.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1.5 Compilazione della scheda informativa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Il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è responsabile per la compilazione della scheda informativa preliminare,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censisce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come parte del Patrimonio Informativo dell’Ente. La compilazione può avvenire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 autonomia da parte del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con l’ausilio della Guida alla Compilazione, oppure nell’ambito di una sessione di intervista, guidata in questo caso dal Responsabile Open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Data, incaricato dell’eventuale correzione dei dati incompleti o mancanti e dell’approvazione del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deliverable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prodotto in questo processo.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Il Responsabile Tutela Dati può essere consultato per la compilazione della sezione sulla Privacy,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anche se nella fase di Analisi e Pubblicazione ci siano processi specifici per controlli approfonditi.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dell’Area e lo Staff tecnico/operativo devono essere notificati alla creazione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aggiornamento di ogni nuova scheda informativa.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A9005B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lastRenderedPageBreak/>
        <w:t>1.6 Validazione dei dati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Una volta che la scheda informativa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viene compilata (o aggiornata), il Responsabile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Open Data deve assicurarsi che i dati siano validi, ovvero che non ci siano informazioni parziali,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mancanti o di scarsa affidabilità. Deve eventualmente prendere nota di imprecisioni, integrazioni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correzioni necessarie, consultando il Responsabile Tutela Dati e lo Staff tecnico/operativo per un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peer-review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. Il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è incaricato di approvare la correttezza dei dati inseriti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aggiornati. </w:t>
      </w: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La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 dovrà contenere il nominativo della risorsa che ha validato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scheda informativa e la data di validazione.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1.7 Inserimento dei dati nella pipeline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</w:pPr>
      <w:r w:rsidRPr="00F4397F">
        <w:rPr>
          <w:rFonts w:asciiTheme="minorHAnsi" w:hAnsiTheme="minorHAnsi" w:cs="Segoe UI"/>
          <w:color w:val="000000"/>
        </w:rPr>
        <w:t xml:space="preserve">La scheda informativa, compilata e validata in tutte le sue sezioni diventa un nuovo </w:t>
      </w:r>
      <w:proofErr w:type="spellStart"/>
      <w:r w:rsidRPr="00F4397F">
        <w:rPr>
          <w:rFonts w:asciiTheme="minorHAnsi" w:hAnsiTheme="minorHAnsi" w:cs="Segoe UI"/>
          <w:color w:val="000000"/>
        </w:rPr>
        <w:t>asset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all’interno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 Patrimonio Informativo gestito dall’Ente. Le informazioni ivi contenute saranno utilizzare per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definizione dei metadati, ovvero informazioni che descrivono le caratteristiche principali dei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all’interno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(titolare del dato, frequenza di aggiornamento, copertura temporale,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copertura geografica,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) all’interno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pipeline. Il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o in alternativa un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membro dello Staff tecnico/operativo deve essere il responsabile per l’inserimento delle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informazioni della scheda all’interno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pipeline.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br w:type="page"/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lastRenderedPageBreak/>
        <w:t xml:space="preserve"> </w:t>
      </w:r>
      <w:r w:rsidRPr="00F4397F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t>2. Analisi e Pubblicazione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t xml:space="preserve"> </w:t>
      </w:r>
      <w:r w:rsidRPr="00F4397F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6269355" cy="295592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083" t="34544" r="13535" b="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30" w:rsidRDefault="00556A30" w:rsidP="00802942">
      <w:pPr>
        <w:spacing w:after="200" w:line="276" w:lineRule="auto"/>
        <w:jc w:val="both"/>
        <w:rPr>
          <w:rFonts w:asciiTheme="minorHAnsi" w:hAnsiTheme="minorHAnsi"/>
          <w:noProof/>
          <w:lang w:eastAsia="it-IT"/>
        </w:rPr>
      </w:pP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2.1 Analisi di riservatezza e titolarità dei dati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Non tutti i dati prodotti all’interno dell’Ente potranno essere pubblicati liberamente. Ci sono infatti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dati </w:t>
      </w:r>
      <w:proofErr w:type="spellStart"/>
      <w:r w:rsidRPr="00F4397F">
        <w:rPr>
          <w:rFonts w:asciiTheme="minorHAnsi" w:hAnsiTheme="minorHAnsi" w:cs="Segoe UI"/>
          <w:color w:val="000000"/>
        </w:rPr>
        <w:t>segretati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(ad es.: soggetti a segreto di Stato, segreto statistico,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>) o con diritti di proprietà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intellettuale di terzi che possono impedirne l'uso, il riutilizzo e la diffusione senza un’autorizzazione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esplicita. </w:t>
      </w: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Il Responsabile Tutela Dati è responsabile per la classificazione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compilando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campo “livello di riservatezza” nella checklist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con uno dei seguenti valori: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Pubblico: </w:t>
      </w:r>
      <w:r w:rsidRPr="00F4397F">
        <w:rPr>
          <w:rFonts w:asciiTheme="minorHAnsi" w:hAnsiTheme="minorHAnsi" w:cs="Segoe UI"/>
          <w:color w:val="000000"/>
        </w:rPr>
        <w:t xml:space="preserve">sono da classificare come di livello “pubblico” tutti 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 contengono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afferenti ai documenti soggetti a pubblicazione obbligatoria per legge ai sensi del </w:t>
      </w:r>
      <w:proofErr w:type="spellStart"/>
      <w:r w:rsidRPr="00F4397F">
        <w:rPr>
          <w:rFonts w:asciiTheme="minorHAnsi" w:hAnsiTheme="minorHAnsi" w:cs="Segoe UI"/>
          <w:color w:val="000000"/>
        </w:rPr>
        <w:t>D.Lgs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33/2013, nonché tutti i dati già pubblicati online sul sito web dell’Ente. </w:t>
      </w: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Sono inoltre da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considerare pubblici tutti quei dati che, pur non essendo soggetti ad obbligo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pubblicazione, non ricadono nelle fattispecie indicate nei punti successivi;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Riservato: </w:t>
      </w:r>
      <w:r w:rsidRPr="00F4397F">
        <w:rPr>
          <w:rFonts w:asciiTheme="minorHAnsi" w:hAnsiTheme="minorHAnsi" w:cs="Segoe UI"/>
          <w:color w:val="000000"/>
        </w:rPr>
        <w:t>sono da classificare come “riservati” tutti i dati coperti da segreto di Stato ai sensi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della Legge n.801 del 24 ottobre 1977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1 </w:t>
      </w:r>
      <w:r w:rsidRPr="00F4397F">
        <w:rPr>
          <w:rFonts w:asciiTheme="minorHAnsi" w:hAnsiTheme="minorHAnsi" w:cs="Segoe UI"/>
          <w:color w:val="000000"/>
        </w:rPr>
        <w:t>e successive modificazioni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2</w:t>
      </w:r>
      <w:r w:rsidRPr="00F4397F">
        <w:rPr>
          <w:rFonts w:asciiTheme="minorHAnsi" w:hAnsiTheme="minorHAnsi" w:cs="Segoe UI"/>
          <w:color w:val="000000"/>
        </w:rPr>
        <w:t>, nonché le altre tipologie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dati escluse dal diritto di accesso e descritte all’articolo 16 della legge n. 15 del 11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febbraio 2005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3</w:t>
      </w:r>
      <w:r w:rsidRPr="00F4397F">
        <w:rPr>
          <w:rFonts w:asciiTheme="minorHAnsi" w:hAnsiTheme="minorHAnsi" w:cs="Segoe UI"/>
          <w:color w:val="000000"/>
        </w:rPr>
        <w:t>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Vincolato: </w:t>
      </w:r>
      <w:r w:rsidRPr="00F4397F">
        <w:rPr>
          <w:rFonts w:asciiTheme="minorHAnsi" w:hAnsiTheme="minorHAnsi" w:cs="Segoe UI"/>
          <w:color w:val="000000"/>
        </w:rPr>
        <w:t>sono “vincolati” tutti i dati in possesso dell’Ente sui cui terzi detengono diritti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proprietà intellettuale ai sensi della Legge n. 633 del 22 aprile 1941 e/o diritti di proprietà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industriale ai sensi del </w:t>
      </w:r>
      <w:proofErr w:type="spellStart"/>
      <w:r w:rsidRPr="00F4397F">
        <w:rPr>
          <w:rFonts w:asciiTheme="minorHAnsi" w:hAnsiTheme="minorHAnsi" w:cs="Segoe UI"/>
          <w:color w:val="000000"/>
        </w:rPr>
        <w:t>D.Lgs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n. 30 del 10 febbraio 2005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4</w:t>
      </w:r>
      <w:r w:rsidRPr="00F4397F">
        <w:rPr>
          <w:rFonts w:asciiTheme="minorHAnsi" w:hAnsiTheme="minorHAnsi" w:cs="Segoe UI"/>
          <w:color w:val="000000"/>
        </w:rPr>
        <w:t>, o che comunque sono stati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originati da terze parti. Tali dati potranno essere aperti soltanto dopo la </w:t>
      </w:r>
      <w:proofErr w:type="spellStart"/>
      <w:r w:rsidRPr="00F4397F">
        <w:rPr>
          <w:rFonts w:asciiTheme="minorHAnsi" w:hAnsiTheme="minorHAnsi" w:cs="Segoe UI"/>
          <w:color w:val="000000"/>
        </w:rPr>
        <w:t>clearance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dei diritti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di copyright descritta nel processo 2.4 Copyright </w:t>
      </w:r>
      <w:proofErr w:type="spellStart"/>
      <w:r w:rsidRPr="00F4397F">
        <w:rPr>
          <w:rFonts w:asciiTheme="minorHAnsi" w:hAnsiTheme="minorHAnsi" w:cs="Segoe UI"/>
          <w:color w:val="000000"/>
        </w:rPr>
        <w:t>clearance</w:t>
      </w:r>
      <w:proofErr w:type="spellEnd"/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lastRenderedPageBreak/>
        <w:t xml:space="preserve">Oltre alla classificazione del livello di riservatezza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il responsabile deve indicare nella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checklist il nominativo e dati di contatto del titolare del dato: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la pubblica amministrazione o l'organismo di diritto pubblico che ha originariamente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formato per uso proprio o commissionato ad altro soggetto pubblico o privato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documento che rappresenta il dato, o che ne ha la disponibilità; come definito dall’articolo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2, comma 1, lettera i, del </w:t>
      </w:r>
      <w:proofErr w:type="spellStart"/>
      <w:r w:rsidRPr="00F4397F">
        <w:rPr>
          <w:rFonts w:asciiTheme="minorHAnsi" w:hAnsiTheme="minorHAnsi" w:cs="Segoe UI"/>
          <w:color w:val="000000"/>
        </w:rPr>
        <w:t>D.Lgs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n. 36 del 24 gennaio 2006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5 </w:t>
      </w:r>
      <w:r w:rsidRPr="00F4397F">
        <w:rPr>
          <w:rFonts w:asciiTheme="minorHAnsi" w:hAnsiTheme="minorHAnsi" w:cs="Segoe UI"/>
          <w:color w:val="000000"/>
        </w:rPr>
        <w:t>e successiva modificazione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6</w:t>
      </w:r>
      <w:r w:rsidRPr="00F4397F">
        <w:rPr>
          <w:rFonts w:asciiTheme="minorHAnsi" w:hAnsiTheme="minorHAnsi" w:cs="Segoe UI"/>
          <w:color w:val="000000"/>
        </w:rPr>
        <w:t>;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1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http://www.normattiva.it/do/atto/vediAggiornamentiAllArticolo?art.dataPubblicazioneGazzetta=1977-11-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07&amp;art.codiceRedazionale=077U0801&amp;art.flagTipoArticolo=0&amp;art.idArticolo=2&amp;art.idSottoArticolo=1&amp;art.idSottoArtic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olo1=10&amp;art.versione=1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2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http://www.normattiva.it/do/atto/vediAggiornamentiAllArticolo?art.dataPubblicazioneGazzetta=2007-08-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13&amp;art.codiceRedazionale=007G0139&amp;art.flagTipoArticolo=0&amp;art.idArticolo=1&amp;art.idSottoArticolo=1&amp;art.idSottoArtic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olo1=10&amp;art.versione=1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3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http://www.normattiva.it/uri-res/N2Ls?urn:nir:stato:legge:2005-02-11;15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4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http://www.normattiva.it/uri-res/N2Ls?urn:nir:stato:decreto.legislativo:2005;30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5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http://www.normattiva.it/uri-res/N2Ls?urn:nir:stato:decreto.legislativo:2006-01-24;36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56A30" w:rsidRDefault="00F4397F" w:rsidP="00802942">
      <w:pPr>
        <w:spacing w:after="200" w:line="276" w:lineRule="auto"/>
        <w:jc w:val="both"/>
        <w:rPr>
          <w:rFonts w:asciiTheme="minorHAnsi" w:hAnsiTheme="minorHAnsi" w:cs="SymbolMT"/>
          <w:color w:val="00000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6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http://www.normattiva.it/atto/caricaDettaglioAtto?atto.dataPubblicazioneGazzetta=2010-06-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25&amp;atto.codiceRedazionale=010G0119&amp;atto.articolo.numero=44&amp;atto.articolo.tipoArticolo=0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br w:type="page"/>
      </w:r>
    </w:p>
    <w:p w:rsidR="00556A30" w:rsidRDefault="00556A30" w:rsidP="00802942">
      <w:pPr>
        <w:spacing w:after="200" w:line="276" w:lineRule="auto"/>
        <w:jc w:val="both"/>
        <w:rPr>
          <w:rFonts w:asciiTheme="minorHAnsi" w:hAnsiTheme="minorHAnsi" w:cs="SymbolMT"/>
          <w:color w:val="000000"/>
        </w:rPr>
      </w:pP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terzi che detengano diritti di proprietà intellettuale ai sensi della Legge n. 633 del 22 aprile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1941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7 </w:t>
      </w:r>
      <w:r w:rsidRPr="00F4397F">
        <w:rPr>
          <w:rFonts w:asciiTheme="minorHAnsi" w:hAnsiTheme="minorHAnsi" w:cs="Segoe UI"/>
          <w:color w:val="000000"/>
        </w:rPr>
        <w:t xml:space="preserve">e/o diritti di proprietà industriale ai sensi del </w:t>
      </w:r>
      <w:proofErr w:type="spellStart"/>
      <w:r w:rsidRPr="00F4397F">
        <w:rPr>
          <w:rFonts w:asciiTheme="minorHAnsi" w:hAnsiTheme="minorHAnsi" w:cs="Segoe UI"/>
          <w:color w:val="000000"/>
        </w:rPr>
        <w:t>D.Lgs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n. 30 del 10 febbraio 2005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8</w:t>
      </w:r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Lo spostamento dei dati da un sistema informativo ad un altro non modifica la titolarità e quindi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rimane immutata la responsabilità sulla gestione dello stesso e sulla sua esattezza e veridicità,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come previsto dall’art. 58 comma 1 del d.lgs. 82/2005.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Ciò comporta che l’uso legittimo del dato in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tutti gli altri casi (ossia dati formati da altri soggetti) avvenga ottenendo dal titolare apposita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licenza che consenta la pubblicazione attraverso il processo 2.4 Copyright </w:t>
      </w:r>
      <w:proofErr w:type="spellStart"/>
      <w:r w:rsidRPr="00F4397F">
        <w:rPr>
          <w:rFonts w:asciiTheme="minorHAnsi" w:hAnsiTheme="minorHAnsi" w:cs="Segoe UI"/>
          <w:color w:val="000000"/>
        </w:rPr>
        <w:t>clearance</w:t>
      </w:r>
      <w:proofErr w:type="spellEnd"/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Il Responsabile Tutela Dati deve, nel rispetto della legge 633/1941, essere attento alla titolarità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delle informazioni che si vogliono pubblicare al fine di evitare la violazione dei diritti di autore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altri diritti di privativa di soggetti terzi.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L’esistenza del diritto di autore e dei diritti connessi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potrebbero impedire o limitare l’utilizzo dei dati per scopi diversi da quelli istituzionali.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 limiti alla conoscibilità dei dati sono quelli previsti dalle leggi e regolamenti in vigore con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particolare riferimento alla tutela della riservatezza dei soggetti a cui i dati si riferiscono (d.lgs.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196/2003 “Codice in materia di protezione dei dati personali” e provvedimenti del Garante n.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17/2007 “Linee guida in materia di trattamento di dati personali per finalità di pubblicazione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diffusione di atti e documenti di enti locali” e n. 88/2011 “Linee guida in materia di trattamento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 personali contenuti anche in atti e documenti amministrativi, effettuati da soggetti pubblici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finalità di pubblicazione e diffusione sul web”). I dati anonimi sono comunque pubblicabili.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Il Responsabile dell’Area e/o il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possono essere consultati per il reperimento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queste informazioni. Il Responsabile Open Data e lo Staff tecnico/operativo devono essere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informati una volta l’analisi sia conclusa.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2.2 Archiviazione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Nei casi in cui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venga considerato non-idoneo alla pubblicazione, il Responsabile Open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Data è incaricato di compilare il documento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 indicando la motivazione della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richiesta di archiviazione: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i/>
          <w:iCs/>
          <w:color w:val="000000"/>
        </w:rPr>
        <w:t>Per riservatezza</w:t>
      </w:r>
      <w:r w:rsidRPr="00F4397F">
        <w:rPr>
          <w:rFonts w:asciiTheme="minorHAnsi" w:hAnsiTheme="minorHAnsi" w:cs="Segoe UI"/>
          <w:color w:val="000000"/>
        </w:rPr>
        <w:t>: come indicato nel processo 2.1 Analisi di riservatezza e titolarità, i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classificati come “riservati” non sono pubblicabili come Open Data;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i/>
          <w:iCs/>
          <w:color w:val="000000"/>
        </w:rPr>
        <w:t>Per non titolarità</w:t>
      </w:r>
      <w:r w:rsidRPr="00F4397F">
        <w:rPr>
          <w:rFonts w:asciiTheme="minorHAnsi" w:hAnsiTheme="minorHAnsi" w:cs="Segoe UI"/>
          <w:color w:val="000000"/>
        </w:rPr>
        <w:t xml:space="preserve">: il processo 2.4 Copyright </w:t>
      </w:r>
      <w:proofErr w:type="spellStart"/>
      <w:r w:rsidRPr="00F4397F">
        <w:rPr>
          <w:rFonts w:asciiTheme="minorHAnsi" w:hAnsiTheme="minorHAnsi" w:cs="Segoe UI"/>
          <w:color w:val="000000"/>
        </w:rPr>
        <w:t>clearance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identifica, all’interno dei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classificati come “vincolati” nel processo 2.1 Analisi di riservatezza e titolarità, quali dati non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possono essere aperti per impedimento contrattuale o mancati accordi per la </w:t>
      </w:r>
      <w:proofErr w:type="spellStart"/>
      <w:r w:rsidRPr="00F4397F">
        <w:rPr>
          <w:rFonts w:asciiTheme="minorHAnsi" w:hAnsiTheme="minorHAnsi" w:cs="Segoe UI"/>
          <w:color w:val="000000"/>
        </w:rPr>
        <w:t>clearance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diritti d’autore;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i/>
          <w:iCs/>
          <w:color w:val="000000"/>
        </w:rPr>
        <w:t>Altro</w:t>
      </w:r>
      <w:r w:rsidRPr="00F4397F">
        <w:rPr>
          <w:rFonts w:asciiTheme="minorHAnsi" w:hAnsiTheme="minorHAnsi" w:cs="Segoe UI"/>
          <w:color w:val="000000"/>
        </w:rPr>
        <w:t>: il processo 2.3 Definizione degli obiettivi e opportunità di pubblicazione, attraverso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valutazione degli obiettivi strategici definiti dall’Ente e dal risultato dell’analisi del divario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</w:rPr>
      </w:pPr>
      <w:r w:rsidRPr="00F4397F">
        <w:rPr>
          <w:rFonts w:asciiTheme="minorHAnsi" w:hAnsiTheme="minorHAnsi" w:cs="Calibri"/>
          <w:color w:val="000000"/>
          <w:sz w:val="14"/>
          <w:szCs w:val="14"/>
        </w:rPr>
        <w:t>7</w:t>
      </w:r>
      <w:r w:rsidRPr="00F4397F">
        <w:rPr>
          <w:rFonts w:asciiTheme="minorHAnsi" w:hAnsiTheme="minorHAnsi" w:cs="Calibri"/>
          <w:color w:val="0000FF"/>
        </w:rPr>
        <w:t>http://www.interlex.it/testi/l41_633.htm</w:t>
      </w:r>
      <w:r w:rsidR="00802942">
        <w:rPr>
          <w:rFonts w:asciiTheme="minorHAnsi" w:hAnsiTheme="minorHAnsi" w:cs="Calibri"/>
          <w:color w:val="0000FF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lastRenderedPageBreak/>
        <w:t>8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http://www.normattiva.it/uri-res/N2Ls?urn:nir:stato:decreto.legislativo:2005;30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="008335D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(</w:t>
      </w:r>
      <w:r w:rsidRPr="00F4397F">
        <w:rPr>
          <w:rFonts w:asciiTheme="minorHAnsi" w:hAnsiTheme="minorHAnsi" w:cs="Segoe UI"/>
          <w:i/>
          <w:iCs/>
          <w:color w:val="000000"/>
        </w:rPr>
        <w:t>gap analysis</w:t>
      </w:r>
      <w:r w:rsidRPr="00F4397F">
        <w:rPr>
          <w:rFonts w:asciiTheme="minorHAnsi" w:hAnsiTheme="minorHAnsi" w:cs="Segoe UI"/>
          <w:i/>
          <w:iCs/>
          <w:color w:val="000000"/>
          <w:sz w:val="14"/>
          <w:szCs w:val="14"/>
        </w:rPr>
        <w:t>9</w:t>
      </w:r>
      <w:r w:rsidRPr="00F4397F">
        <w:rPr>
          <w:rFonts w:asciiTheme="minorHAnsi" w:hAnsiTheme="minorHAnsi" w:cs="Segoe UI"/>
          <w:color w:val="000000"/>
        </w:rPr>
        <w:t>) potrebbe ritenere non opportuno continuare il percorso di apertura di un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(ad. es.: i costi di </w:t>
      </w:r>
      <w:proofErr w:type="spellStart"/>
      <w:r w:rsidRPr="00F4397F">
        <w:rPr>
          <w:rFonts w:asciiTheme="minorHAnsi" w:hAnsiTheme="minorHAnsi" w:cs="Segoe UI"/>
          <w:color w:val="000000"/>
        </w:rPr>
        <w:t>dematerializzazione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completamento e strutturazione di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attualmente in formato cartaceo, rispetto al piano strategico, l’utilità pubblica e i benefici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attesi potrebbero minare la fattibilità di apertura). In questi casi, sebbene la decisione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archiviazione sia più soggettiva che nei casi precedenti, l’analisi del divario e dei costi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restano dati oggettivi che devono essere presenti e documentati nelle motivazioni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l’archiviazione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Tutti gli altri attori devono essere informati delle motivazioni applicate al processo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archiviazione di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. In particolare, se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è stato analizzato in risposta a una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richiesta da parte di uno degli attori sociali, è necessario fornire feedback diretto al richiedente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 merito alla conclusione dell’analisi dei dati conforme le indicazioni del processo 2.17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Feedback.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2.3 Definizione degli obiettivi e opportunità di pubblicazione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L’esecuzione di tutte le attività propedeutiche all’apertura dei dati previste dal modello ODMC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dipendono da una valutazione complessiva dell’opportunità di apertura dei dati composta da: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Analisi del divario (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gap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analysis</w:t>
      </w:r>
      <w:proofErr w:type="spellEnd"/>
      <w:r w:rsidRPr="00F4397F">
        <w:rPr>
          <w:rFonts w:asciiTheme="minorHAnsi" w:hAnsiTheme="minorHAnsi" w:cs="Segoe UI"/>
          <w:color w:val="000000"/>
        </w:rPr>
        <w:t>) esistente tra la situazione attuale del dato, censita con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scheda informativa nella fase di Identificazione e lo stato finale di pubblicazione. Tale analisi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ha come risultato la lista di interventi minimi necessari all’apertura dei dati (ad es.: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dematerializzazione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copyright </w:t>
      </w:r>
      <w:proofErr w:type="spellStart"/>
      <w:r w:rsidRPr="00F4397F">
        <w:rPr>
          <w:rFonts w:asciiTheme="minorHAnsi" w:hAnsiTheme="minorHAnsi" w:cs="Segoe UI"/>
          <w:color w:val="000000"/>
        </w:rPr>
        <w:t>clearance</w:t>
      </w:r>
      <w:proofErr w:type="spellEnd"/>
      <w:r w:rsidRPr="00F4397F">
        <w:rPr>
          <w:rFonts w:asciiTheme="minorHAnsi" w:hAnsiTheme="minorHAnsi" w:cs="Segoe UI"/>
          <w:color w:val="000000"/>
        </w:rPr>
        <w:t>, trattamento dei dati personali, completamento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in merito al miglioramento della qualità,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>);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Analisi del costo di apertura, considerando eventuali costi di gestione per eventuali progetti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ad-hoc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di adeguamento allo standard di pubblicazione, che in molti casi potrebbero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gravare sull’area di appartenenza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 non sulla struttura di gestione Open Data;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Definizione degli obiettivi strategici, in relazione con il Piano Strategico dell’Ente in termini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priorità di apertura del dato, tempi di realizzazione, metriche che saranno usate nella fase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di Monitoraggio per la valutazione della performance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 risultati attesi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saranno valutati nella fase di Mantenimento.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È necessario verificare se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sia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funzionale ai reali interessi della comunità di riferimento e se si trattano di dati necessari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alla gestione delle attività (dati che servono all'Ente per il corretto funzionamento dei suoi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processi), dati ottenuti dal risultato delle attività (dati che l'Ente produce nell'esercizio delle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sue funzioni) o dati prodotti nella gestione delle attività-sottoprodotti di un processo (dati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che l'Ente ottiene come sottoprodotto dei processi). Inoltre, deve essere definito il grado di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9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http://www.businessdictionary.com/</w:t>
      </w:r>
      <w:proofErr w:type="spellStart"/>
      <w:r w:rsidRPr="00F4397F">
        <w:rPr>
          <w:rFonts w:asciiTheme="minorHAnsi" w:hAnsiTheme="minorHAnsi" w:cs="Calibri"/>
          <w:color w:val="0000FF"/>
          <w:sz w:val="20"/>
          <w:szCs w:val="20"/>
        </w:rPr>
        <w:t>definition</w:t>
      </w:r>
      <w:proofErr w:type="spellEnd"/>
      <w:r w:rsidRPr="00F4397F">
        <w:rPr>
          <w:rFonts w:asciiTheme="minorHAnsi" w:hAnsiTheme="minorHAnsi" w:cs="Calibri"/>
          <w:color w:val="0000FF"/>
          <w:sz w:val="20"/>
          <w:szCs w:val="20"/>
        </w:rPr>
        <w:t>/gap-analysis.html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="008335D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apertura del dato secondo la classificazione a 5 stelle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10 </w:t>
      </w:r>
      <w:r w:rsidRPr="00F4397F">
        <w:rPr>
          <w:rFonts w:asciiTheme="minorHAnsi" w:hAnsiTheme="minorHAnsi" w:cs="Segoe UI"/>
          <w:color w:val="000000"/>
        </w:rPr>
        <w:t>dei dati, proposta dall’ideatore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802942">
        <w:rPr>
          <w:rFonts w:asciiTheme="minorHAnsi" w:hAnsiTheme="minorHAnsi" w:cs="Segoe UI"/>
          <w:color w:val="000000"/>
        </w:rPr>
        <w:t xml:space="preserve">Web, Sir Tim </w:t>
      </w:r>
      <w:proofErr w:type="spellStart"/>
      <w:r w:rsidRPr="00802942">
        <w:rPr>
          <w:rFonts w:asciiTheme="minorHAnsi" w:hAnsiTheme="minorHAnsi" w:cs="Segoe UI"/>
          <w:color w:val="000000"/>
        </w:rPr>
        <w:t>Berners-Lee</w:t>
      </w:r>
      <w:proofErr w:type="spellEnd"/>
      <w:r w:rsidRPr="00802942">
        <w:rPr>
          <w:rFonts w:asciiTheme="minorHAnsi" w:hAnsiTheme="minorHAnsi" w:cs="Segoe UI"/>
          <w:color w:val="000000"/>
        </w:rPr>
        <w:t>:</w:t>
      </w:r>
      <w:r w:rsidR="00802942" w:rsidRP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Courier New"/>
          <w:color w:val="000000"/>
          <w:sz w:val="20"/>
          <w:szCs w:val="20"/>
        </w:rPr>
        <w:t xml:space="preserve">o </w:t>
      </w:r>
      <w:r w:rsidRPr="00F4397F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(1) </w:t>
      </w:r>
      <w:r w:rsidRPr="00F4397F">
        <w:rPr>
          <w:rFonts w:ascii="Segoe UI Symbol" w:hAnsi="Segoe UI Symbol" w:cs="Segoe UI Symbol"/>
          <w:color w:val="000000"/>
          <w:sz w:val="20"/>
          <w:szCs w:val="20"/>
        </w:rPr>
        <w:t>★</w:t>
      </w:r>
      <w:r w:rsidRPr="00F4397F">
        <w:rPr>
          <w:rFonts w:asciiTheme="minorHAnsi" w:hAnsiTheme="minorHAnsi" w:cs="MSGothic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- dati disponibili sul web (in qualunque formato ad es. PDF, immagini,…)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sotto una licenza aperta;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Courier New"/>
          <w:color w:val="000000"/>
          <w:sz w:val="20"/>
          <w:szCs w:val="20"/>
        </w:rPr>
        <w:t xml:space="preserve">o </w:t>
      </w:r>
      <w:r w:rsidRPr="00F4397F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(2) </w:t>
      </w:r>
      <w:r w:rsidRPr="00F4397F">
        <w:rPr>
          <w:rFonts w:ascii="Segoe UI Symbol" w:hAnsi="Segoe UI Symbol" w:cs="Segoe UI Symbol"/>
          <w:color w:val="000000"/>
          <w:sz w:val="20"/>
          <w:szCs w:val="20"/>
        </w:rPr>
        <w:t>★★</w:t>
      </w:r>
      <w:r w:rsidRPr="00F4397F">
        <w:rPr>
          <w:rFonts w:asciiTheme="minorHAnsi" w:hAnsiTheme="minorHAnsi" w:cs="MSGothic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- dati disponibili in un formato strutturato (ad es. MS Excel al posto di una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scansione di una tabella);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Courier New"/>
          <w:color w:val="000000"/>
          <w:sz w:val="20"/>
          <w:szCs w:val="20"/>
        </w:rPr>
        <w:lastRenderedPageBreak/>
        <w:t xml:space="preserve">o </w:t>
      </w:r>
      <w:r w:rsidRPr="00F4397F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(3) </w:t>
      </w:r>
      <w:r w:rsidRPr="00F4397F">
        <w:rPr>
          <w:rFonts w:ascii="Segoe UI Symbol" w:hAnsi="Segoe UI Symbol" w:cs="Segoe UI Symbol"/>
          <w:color w:val="000000"/>
          <w:sz w:val="20"/>
          <w:szCs w:val="20"/>
        </w:rPr>
        <w:t>★★★</w:t>
      </w:r>
      <w:r w:rsidRPr="00F4397F">
        <w:rPr>
          <w:rFonts w:asciiTheme="minorHAnsi" w:hAnsiTheme="minorHAnsi" w:cs="MSGothic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- come (2) e utilizza formati non proprietari (ad es. CSV invece di MS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Excel);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Courier New"/>
          <w:color w:val="000000"/>
          <w:sz w:val="20"/>
          <w:szCs w:val="20"/>
        </w:rPr>
        <w:t xml:space="preserve">o </w:t>
      </w:r>
      <w:r w:rsidRPr="00F4397F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(4) </w:t>
      </w:r>
      <w:r w:rsidRPr="00F4397F">
        <w:rPr>
          <w:rFonts w:ascii="Segoe UI Symbol" w:hAnsi="Segoe UI Symbol" w:cs="Segoe UI Symbol"/>
          <w:color w:val="000000"/>
          <w:sz w:val="20"/>
          <w:szCs w:val="20"/>
        </w:rPr>
        <w:t>★★★★</w:t>
      </w:r>
      <w:r w:rsidRPr="00F4397F">
        <w:rPr>
          <w:rFonts w:asciiTheme="minorHAnsi" w:hAnsiTheme="minorHAnsi" w:cs="MSGothic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- come (3) e utilizza standard aperti W3C (RDF, SPARQL) per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identificare le risorse, in modo che si possano creare collegamenti ai dati;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Courier New"/>
          <w:color w:val="000000"/>
          <w:sz w:val="20"/>
          <w:szCs w:val="20"/>
        </w:rPr>
        <w:t xml:space="preserve">o </w:t>
      </w:r>
      <w:r w:rsidRPr="00F4397F">
        <w:rPr>
          <w:rFonts w:asciiTheme="minorHAnsi" w:eastAsia="MS Gothic" w:hAnsiTheme="minorHAnsi" w:cs="MS Gothic"/>
          <w:color w:val="000000"/>
          <w:sz w:val="20"/>
          <w:szCs w:val="20"/>
        </w:rPr>
        <w:t xml:space="preserve">(5) </w:t>
      </w:r>
      <w:r w:rsidRPr="00F4397F">
        <w:rPr>
          <w:rFonts w:ascii="Segoe UI Symbol" w:hAnsi="Segoe UI Symbol" w:cs="Segoe UI Symbol"/>
          <w:color w:val="000000"/>
          <w:sz w:val="20"/>
          <w:szCs w:val="20"/>
        </w:rPr>
        <w:t>★★★★★</w:t>
      </w:r>
      <w:r w:rsidRPr="00F4397F">
        <w:rPr>
          <w:rFonts w:asciiTheme="minorHAnsi" w:hAnsiTheme="minorHAnsi" w:cs="MSGothic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- come (4) e collega i dati ad altri dati, al fine di creare un contesto.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Open Data è incaricato di guidare la valutazione, documentando i risultati nella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checklist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 interagendo con il Responsabile dell’Area per la definizione degli obiettivi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strategici e con gli altri attori per l’analisi del divario e le stime del costo di apertura. Infine, sulla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base di quanto documentato, il Responsabile dell’Area di appartenenza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potrà decidere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se sarà opportuno o meno procedere con le attività di apertura dei dati e all’avvio di eventuali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progetti </w:t>
      </w:r>
      <w:proofErr w:type="spellStart"/>
      <w:r w:rsidRPr="00F4397F">
        <w:rPr>
          <w:rFonts w:asciiTheme="minorHAnsi" w:hAnsiTheme="minorHAnsi" w:cs="Segoe UI"/>
          <w:color w:val="000000"/>
        </w:rPr>
        <w:t>ad-hoc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per la standardizzazione dei dati (v. processi che avviano progetti </w:t>
      </w:r>
      <w:proofErr w:type="spellStart"/>
      <w:r w:rsidRPr="00F4397F">
        <w:rPr>
          <w:rFonts w:asciiTheme="minorHAnsi" w:hAnsiTheme="minorHAnsi" w:cs="Segoe UI"/>
          <w:color w:val="000000"/>
        </w:rPr>
        <w:t>ad-hoc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controllo esterno al modello ODMC):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2.4 Copyright </w:t>
      </w:r>
      <w:proofErr w:type="spellStart"/>
      <w:r w:rsidRPr="00F4397F">
        <w:rPr>
          <w:rFonts w:asciiTheme="minorHAnsi" w:hAnsiTheme="minorHAnsi" w:cs="Segoe UI"/>
          <w:color w:val="000000"/>
        </w:rPr>
        <w:t>clearance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2.6 Completamento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2.8 </w:t>
      </w:r>
      <w:proofErr w:type="spellStart"/>
      <w:r w:rsidRPr="00F4397F">
        <w:rPr>
          <w:rFonts w:asciiTheme="minorHAnsi" w:hAnsiTheme="minorHAnsi" w:cs="Segoe UI"/>
          <w:color w:val="000000"/>
        </w:rPr>
        <w:t>Dematerializzazione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2.10 Strutturazione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2.12 Tecniche di trattamento dei dati personali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2.13 Conversione in formato aperto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 alcuni casi può essere opportuno accorpare le attività previste per tutti i processi di cui sopra in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un unico progetto di apertura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gestito internamente o esternamente all’Ente a seconda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delle disponibilità di risorse dell’Area di competenza.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2.4 Copyright </w:t>
      </w:r>
      <w:proofErr w:type="spellStart"/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clearance</w:t>
      </w:r>
      <w:proofErr w:type="spellEnd"/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</w:rPr>
      </w:pPr>
      <w:r w:rsidRPr="00F4397F">
        <w:rPr>
          <w:rFonts w:asciiTheme="minorHAnsi" w:hAnsiTheme="minorHAnsi" w:cs="Segoe UI"/>
          <w:color w:val="000000"/>
        </w:rPr>
        <w:t xml:space="preserve">Con il termine “copyright </w:t>
      </w:r>
      <w:proofErr w:type="spellStart"/>
      <w:r w:rsidRPr="00F4397F">
        <w:rPr>
          <w:rFonts w:asciiTheme="minorHAnsi" w:hAnsiTheme="minorHAnsi" w:cs="Segoe UI"/>
          <w:color w:val="000000"/>
        </w:rPr>
        <w:t>clearance</w:t>
      </w:r>
      <w:proofErr w:type="spellEnd"/>
      <w:r w:rsidRPr="00F4397F">
        <w:rPr>
          <w:rFonts w:asciiTheme="minorHAnsi" w:hAnsiTheme="minorHAnsi" w:cs="Segoe UI"/>
          <w:color w:val="000000"/>
        </w:rPr>
        <w:t>”, si intende l’attività necessaria a contattare l’effettivo titolare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 dato e predisporre un accordo di utilizzo o l’applicazione di una licenza aperta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11 </w:t>
      </w:r>
      <w:r w:rsidRPr="00F4397F">
        <w:rPr>
          <w:rFonts w:asciiTheme="minorHAnsi" w:hAnsiTheme="minorHAnsi" w:cs="Segoe UI"/>
          <w:color w:val="000000"/>
        </w:rPr>
        <w:t>(v. processo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2.15 Applicazione della licenza d’uso) al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identificato, che permetta il suo riuso e la sua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diffusione da parte dell’Ente e da chiunque abbia accesso ai dati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12</w:t>
      </w:r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Calibri"/>
          <w:color w:val="000000"/>
          <w:sz w:val="14"/>
          <w:szCs w:val="14"/>
        </w:rPr>
        <w:t xml:space="preserve">10 </w:t>
      </w:r>
      <w:r w:rsidRPr="00F4397F">
        <w:rPr>
          <w:rFonts w:asciiTheme="minorHAnsi" w:hAnsiTheme="minorHAnsi" w:cs="Calibri"/>
          <w:color w:val="0000FF"/>
        </w:rPr>
        <w:t>http://5stardata.info/</w:t>
      </w:r>
      <w:r w:rsidR="00802942">
        <w:rPr>
          <w:rFonts w:asciiTheme="minorHAnsi" w:hAnsiTheme="minorHAnsi" w:cs="Calibri"/>
          <w:color w:val="0000FF"/>
        </w:rPr>
        <w:t xml:space="preserve"> </w:t>
      </w:r>
      <w:r w:rsidRPr="00F4397F">
        <w:rPr>
          <w:rFonts w:asciiTheme="minorHAnsi" w:hAnsiTheme="minorHAnsi" w:cs="Calibri"/>
          <w:color w:val="000000"/>
          <w:sz w:val="14"/>
          <w:szCs w:val="14"/>
        </w:rPr>
        <w:t xml:space="preserve">11 </w:t>
      </w:r>
      <w:r w:rsidRPr="00F4397F">
        <w:rPr>
          <w:rFonts w:asciiTheme="minorHAnsi" w:hAnsiTheme="minorHAnsi" w:cs="Calibri"/>
          <w:color w:val="0000FF"/>
        </w:rPr>
        <w:t>http://opendefinition.org/guide/</w:t>
      </w:r>
      <w:r w:rsidR="00802942">
        <w:rPr>
          <w:rFonts w:asciiTheme="minorHAnsi" w:hAnsiTheme="minorHAnsi" w:cs="Calibri"/>
          <w:color w:val="0000FF"/>
        </w:rPr>
        <w:t xml:space="preserve"> </w:t>
      </w:r>
      <w:r w:rsidRPr="00F4397F">
        <w:rPr>
          <w:rFonts w:asciiTheme="minorHAnsi" w:hAnsiTheme="minorHAnsi" w:cs="Calibri"/>
          <w:color w:val="000000"/>
          <w:sz w:val="14"/>
          <w:szCs w:val="14"/>
        </w:rPr>
        <w:t xml:space="preserve">12 </w:t>
      </w:r>
      <w:hyperlink r:id="rId11" w:history="1">
        <w:r w:rsidR="008335D2" w:rsidRPr="004F7D36">
          <w:rPr>
            <w:rStyle w:val="Collegamentoipertestuale"/>
            <w:rFonts w:asciiTheme="minorHAnsi" w:hAnsiTheme="minorHAnsi" w:cs="Calibri"/>
          </w:rPr>
          <w:t>http://opendefinition.org/guide/data/#EU</w:t>
        </w:r>
      </w:hyperlink>
      <w:r w:rsidR="00802942">
        <w:rPr>
          <w:rFonts w:asciiTheme="minorHAnsi" w:hAnsiTheme="minorHAnsi" w:cs="Calibri"/>
          <w:color w:val="0000FF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Il Responsabile Tutela Dati è responsabile della </w:t>
      </w:r>
      <w:proofErr w:type="spellStart"/>
      <w:r w:rsidRPr="00F4397F">
        <w:rPr>
          <w:rFonts w:asciiTheme="minorHAnsi" w:hAnsiTheme="minorHAnsi" w:cs="Segoe UI"/>
          <w:color w:val="000000"/>
        </w:rPr>
        <w:t>clearance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dei diritti d’autore per 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abbiano superato la valutazione di opportunità nel processo 2.3 Definizione degli obiettivi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opportunità di pubblicazione e per i quali l’Ente non detiene la titolarità del dato. Il Responsabile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Open Data, così come il Responsabile dell’Area e il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possono essere consultati in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merito a requisiti e impedimenti specifici all’uso del dato in formato aperto.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Idealmente, si dovrebbe provare ad ottenere che il detentore dei diritti sui dati rinunci a tutti gli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interessi sulla opera attribuendola al Pubblico Dominio con l’utilizzo dello strumento CC0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13</w:t>
      </w:r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L’esito finale del processo (positivo o negativo) deve essere registrato nella checklist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con eventuali note sui termini dell’accordo di </w:t>
      </w:r>
      <w:proofErr w:type="spellStart"/>
      <w:r w:rsidRPr="00F4397F">
        <w:rPr>
          <w:rFonts w:asciiTheme="minorHAnsi" w:hAnsiTheme="minorHAnsi" w:cs="Segoe UI"/>
          <w:color w:val="000000"/>
        </w:rPr>
        <w:t>clearance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dei diritti (ad es.: eventuale pagamento di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royalties</w:t>
      </w:r>
      <w:proofErr w:type="spellEnd"/>
      <w:r w:rsidRPr="00F4397F">
        <w:rPr>
          <w:rFonts w:asciiTheme="minorHAnsi" w:hAnsiTheme="minorHAnsi" w:cs="Segoe UI"/>
          <w:color w:val="000000"/>
        </w:rPr>
        <w:t>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8335D2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2.5 Analisi di completezza e qualità minima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Il Responsabile Open Data, assieme al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sono responsabili per l’analisi quantitativa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(completezza) e qualitativa (qualità) di dettaglio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L’analisi quantitativa ha come obiettivo stabilire il grado di completezza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in relazione alla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realtà che rappresentano (ad es. se mancano elementi per rappresentare il 100% degli elementi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attesi nel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completo).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L’analisi qualitativa ha come obiettivo verificare che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rispetti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alcuni fattori minimi di conformità prima della pubblicazione (ad es. l’accuratezza sintattica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semantica dei dati, la consistenza interna ed esterna,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>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Lo Staff tecnico/operativo può essere coinvolto per analisi puntuali dei singoli dati, con l’obiettivo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testare la loro consistenza, identificare e documentare i requisiti degli interventi per 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miglioramento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e stimare con precisione tempi, costi e risultati attesi. Oltre ai problemi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di qualità del singolo dato all’interno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tra i vari interventi di completamento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possono essere richiesti, è bene fare attenzione anche ai seguenti: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Assenza di dati in determinati periodi di tempo (ad es. mancano i dati di un giorno o una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settimana) e se è possibile ricrearli;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La presenza di dati dove sia richiesta una password di accesso (ad </w:t>
      </w:r>
      <w:proofErr w:type="spellStart"/>
      <w:r w:rsidRPr="00F4397F">
        <w:rPr>
          <w:rFonts w:asciiTheme="minorHAnsi" w:hAnsiTheme="minorHAnsi" w:cs="Segoe UI"/>
          <w:color w:val="000000"/>
        </w:rPr>
        <w:t>es</w:t>
      </w:r>
      <w:proofErr w:type="spellEnd"/>
      <w:r w:rsidRPr="00F4397F">
        <w:rPr>
          <w:rFonts w:asciiTheme="minorHAnsi" w:hAnsiTheme="minorHAnsi" w:cs="Segoe UI"/>
          <w:color w:val="000000"/>
        </w:rPr>
        <w:t>: fogli di calcolo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protetti da password);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Dati persi (ad es. era presente su postazione desktop che è stata formattata) e la possibilità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recuperare una copia di backup.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Il risultato dell’analisi deve essere documentato nel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checklist, assieme alla lista di eventuali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interventi migliorativi che devono essere eseguiti nel processo 2.6 Completamento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messi a conoscenza del Responsabile dell’Area.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</w:rPr>
      </w:pPr>
      <w:r w:rsidRPr="00F4397F">
        <w:rPr>
          <w:rFonts w:asciiTheme="minorHAnsi" w:hAnsiTheme="minorHAnsi" w:cs="Calibri"/>
          <w:color w:val="000000"/>
          <w:sz w:val="14"/>
          <w:szCs w:val="14"/>
        </w:rPr>
        <w:t>13</w:t>
      </w:r>
      <w:r w:rsidRPr="00F4397F">
        <w:rPr>
          <w:rFonts w:asciiTheme="minorHAnsi" w:hAnsiTheme="minorHAnsi" w:cs="Calibri"/>
          <w:color w:val="0000FF"/>
        </w:rPr>
        <w:t xml:space="preserve">http://creativecommons.org/choose/zero/ </w:t>
      </w:r>
      <w:r w:rsidRPr="00F4397F">
        <w:rPr>
          <w:rFonts w:asciiTheme="minorHAnsi" w:hAnsiTheme="minorHAnsi" w:cs="Calibri"/>
          <w:color w:val="000000"/>
        </w:rPr>
        <w:t xml:space="preserve">e </w:t>
      </w:r>
      <w:hyperlink r:id="rId12" w:history="1">
        <w:r w:rsidR="008335D2" w:rsidRPr="004F7D36">
          <w:rPr>
            <w:rStyle w:val="Collegamentoipertestuale"/>
            <w:rFonts w:asciiTheme="minorHAnsi" w:hAnsiTheme="minorHAnsi" w:cs="Calibri"/>
          </w:rPr>
          <w:t>http://creativecommons.org/about/cc0</w:t>
        </w:r>
      </w:hyperlink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2.6 Completamento del </w:t>
      </w:r>
      <w:proofErr w:type="spellStart"/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dataset</w:t>
      </w:r>
      <w:proofErr w:type="spellEnd"/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dell’Area deve revisionare ed approvare la lista di interventi di miglioramento della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completezza e qualità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prodotta come output del processo 2.5 Analisi di completezza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qualità minima. Il Responsabile Open Data, assieme allo Staff tecnico/operativo sono responsabili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per la gestione del progetto di completamento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che, tipicamente, consiste in attività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data cleansing</w:t>
      </w:r>
      <w:r w:rsidRPr="00F4397F">
        <w:rPr>
          <w:rFonts w:asciiTheme="minorHAnsi" w:hAnsiTheme="minorHAnsi" w:cs="Segoe UI"/>
          <w:i/>
          <w:iCs/>
          <w:color w:val="000000"/>
          <w:sz w:val="14"/>
          <w:szCs w:val="14"/>
        </w:rPr>
        <w:t xml:space="preserve">14 </w:t>
      </w:r>
      <w:r w:rsidRPr="00F4397F">
        <w:rPr>
          <w:rFonts w:asciiTheme="minorHAnsi" w:hAnsiTheme="minorHAnsi" w:cs="Segoe UI"/>
          <w:color w:val="000000"/>
        </w:rPr>
        <w:t>o “pulizia dei dati”, ovvero il processo di individuazione, correzione o rimozione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record corrotti o inesatti.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Dopo la pulizia, l’insieme di dati sarà coerente con altri dati simili nel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sistema. Le incongruenze rilevate o rimosse possono essere state originariamente causate da errori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immissione degli utenti, dalla corruzione nella trasmissione o nella memorizzazione, o da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differenti modi nella definizione dello stesso elemento (ad es. sinonimi).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lastRenderedPageBreak/>
        <w:t xml:space="preserve">L’esecuzione del progetto di completamento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viene gestita di solito esternamente alla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struttura di gestione Open Data in quanto realizzata idealmente nella sorgente stessa dei dati con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l’obiettivo di rendere permanenti i miglioramenti di qualità dei dati stessi. Inoltre, la gestione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budget e la modalità di affidamento dell’attività (esecuzione interna o esterna all’Ente) restano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sotto responsabilità dell’Area di appartenenza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.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Sebbene il Responsabile Tutela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debba essere informato sul progetto di completamento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questo processo non deve essere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confuso con il processo 2.12 Tecniche di trattamento dei dati personali che gestisce problematiche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diverse e non afferenti alla quantità o la qualità dei dati.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2.7 Analisi del formato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Il Responsabile Open Data, assieme al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sono responsabili per l’analisi del formato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(o dei formati) del dato nella sua origine. Per origine (o sorgente)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si intende dove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dato viene creato e gestito nello suo stato “originale” (ad es.: un foglio MS Excel, un sistema di ERP,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un applicativo web, un archivio </w:t>
      </w:r>
      <w:proofErr w:type="spellStart"/>
      <w:r w:rsidRPr="00F4397F">
        <w:rPr>
          <w:rFonts w:asciiTheme="minorHAnsi" w:hAnsiTheme="minorHAnsi" w:cs="Segoe UI"/>
          <w:color w:val="000000"/>
        </w:rPr>
        <w:t>cartaceo…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).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Analizzare e documentare nella checklist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formato (o eventuali formati alternativi di accesso al dato originale) permette di classificare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comparare il grado di apertura attuale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rispetto al grado finale di apertura desiderato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definito nel processo 2.3 Definizione degli obiettivi e opportunità di pubblicazione (da 1 a 5 stelle).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A seconda del dato analizzato, gli attori responsabili del processo devono classificare la situazione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 dato (se in formato digitale) all’origine tra le seguenti categorie e livelli: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Dati grezzi: disponibili in formati che non consentono l’estrapolazione immediata degli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stessi come ad esempio immagini nei diversi formati grafici (.gif, .jpg, .</w:t>
      </w:r>
      <w:proofErr w:type="spellStart"/>
      <w:r w:rsidRPr="00F4397F">
        <w:rPr>
          <w:rFonts w:asciiTheme="minorHAnsi" w:hAnsiTheme="minorHAnsi" w:cs="Segoe UI"/>
          <w:color w:val="000000"/>
        </w:rPr>
        <w:t>png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.bmp,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>)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documenti in formato proprietario Adobe PDF o Microsoft Word. Questi dati, senza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trasformazioni, possono essere aperti con livello </w:t>
      </w:r>
      <w:r w:rsidRPr="00F4397F">
        <w:rPr>
          <w:rFonts w:ascii="Segoe UI Symbol" w:hAnsi="Segoe UI Symbol" w:cs="Segoe UI Symbol"/>
          <w:color w:val="000000"/>
          <w:sz w:val="20"/>
          <w:szCs w:val="20"/>
        </w:rPr>
        <w:t>★</w:t>
      </w:r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Dati strutturati: dati disponibili in formati – aperti o proprietari - che ne consentono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l’elaborazione in forma strutturata (es. righe e colonne). Ad esempio, fogli di calcolo in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14 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http://en.wikipedia.org/wiki/Data_cleansing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br w:type="page"/>
      </w:r>
      <w:r w:rsidR="00802942">
        <w:rPr>
          <w:rFonts w:asciiTheme="minorHAnsi" w:hAnsiTheme="minorHAnsi" w:cs="Segoe UI"/>
          <w:color w:val="000000"/>
        </w:rPr>
        <w:lastRenderedPageBreak/>
        <w:t xml:space="preserve"> </w:t>
      </w:r>
      <w:r w:rsidRPr="00F4397F">
        <w:rPr>
          <w:rFonts w:asciiTheme="minorHAnsi" w:hAnsiTheme="minorHAnsi" w:cs="Segoe UI"/>
          <w:color w:val="000000"/>
        </w:rPr>
        <w:t>formato proprietario create con Microsoft Excel (in formato .</w:t>
      </w:r>
      <w:proofErr w:type="spellStart"/>
      <w:r w:rsidRPr="00F4397F">
        <w:rPr>
          <w:rFonts w:asciiTheme="minorHAnsi" w:hAnsiTheme="minorHAnsi" w:cs="Segoe UI"/>
          <w:color w:val="000000"/>
        </w:rPr>
        <w:t>xls</w:t>
      </w:r>
      <w:proofErr w:type="spellEnd"/>
      <w:r w:rsidRPr="00F4397F">
        <w:rPr>
          <w:rFonts w:asciiTheme="minorHAnsi" w:hAnsiTheme="minorHAnsi" w:cs="Segoe UI"/>
          <w:color w:val="000000"/>
        </w:rPr>
        <w:t>, .</w:t>
      </w:r>
      <w:proofErr w:type="spellStart"/>
      <w:r w:rsidRPr="00F4397F">
        <w:rPr>
          <w:rFonts w:asciiTheme="minorHAnsi" w:hAnsiTheme="minorHAnsi" w:cs="Segoe UI"/>
          <w:color w:val="000000"/>
        </w:rPr>
        <w:t>xlsx…</w:t>
      </w:r>
      <w:proofErr w:type="spellEnd"/>
      <w:r w:rsidRPr="00F4397F">
        <w:rPr>
          <w:rFonts w:asciiTheme="minorHAnsi" w:hAnsiTheme="minorHAnsi" w:cs="Segoe UI"/>
          <w:color w:val="000000"/>
        </w:rPr>
        <w:t>) possono essere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aperti con livello </w:t>
      </w:r>
      <w:r w:rsidRPr="00F4397F">
        <w:rPr>
          <w:rFonts w:ascii="Segoe UI Symbol" w:hAnsi="Segoe UI Symbol" w:cs="Segoe UI Symbol"/>
          <w:color w:val="000000"/>
        </w:rPr>
        <w:t>★★</w:t>
      </w:r>
      <w:r w:rsidRPr="00F4397F">
        <w:rPr>
          <w:rFonts w:asciiTheme="minorHAnsi" w:hAnsiTheme="minorHAnsi" w:cs="Segoe UI"/>
          <w:color w:val="000000"/>
        </w:rPr>
        <w:t>. Se salvati in formati non proprietari (come .</w:t>
      </w:r>
      <w:proofErr w:type="spellStart"/>
      <w:r w:rsidRPr="00F4397F">
        <w:rPr>
          <w:rFonts w:asciiTheme="minorHAnsi" w:hAnsiTheme="minorHAnsi" w:cs="Segoe UI"/>
          <w:color w:val="000000"/>
        </w:rPr>
        <w:t>csv</w:t>
      </w:r>
      <w:proofErr w:type="spellEnd"/>
      <w:r w:rsidRPr="00F4397F">
        <w:rPr>
          <w:rFonts w:asciiTheme="minorHAnsi" w:hAnsiTheme="minorHAnsi" w:cs="Segoe UI"/>
          <w:color w:val="000000"/>
        </w:rPr>
        <w:t>, .</w:t>
      </w:r>
      <w:proofErr w:type="spellStart"/>
      <w:r w:rsidRPr="00F4397F">
        <w:rPr>
          <w:rFonts w:asciiTheme="minorHAnsi" w:hAnsiTheme="minorHAnsi" w:cs="Segoe UI"/>
          <w:color w:val="000000"/>
        </w:rPr>
        <w:t>sxc</w:t>
      </w:r>
      <w:proofErr w:type="spellEnd"/>
      <w:r w:rsidRPr="00F4397F">
        <w:rPr>
          <w:rFonts w:asciiTheme="minorHAnsi" w:hAnsiTheme="minorHAnsi" w:cs="Segoe UI"/>
          <w:color w:val="000000"/>
        </w:rPr>
        <w:t>) raggiungono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livello </w:t>
      </w:r>
      <w:r w:rsidRPr="00F4397F">
        <w:rPr>
          <w:rFonts w:ascii="Segoe UI Symbol" w:hAnsi="Segoe UI Symbol" w:cs="Segoe UI Symbol"/>
          <w:color w:val="000000"/>
        </w:rPr>
        <w:t>★★★</w:t>
      </w:r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Database: di norma di questi dati è possibile scegliere il formato di esportazione più idoneo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(es. XML, JSON o altri formati aperti). L’esportazione può produrre file classificabili con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livello </w:t>
      </w:r>
      <w:r w:rsidRPr="00F4397F">
        <w:rPr>
          <w:rFonts w:ascii="Segoe UI Symbol" w:hAnsi="Segoe UI Symbol" w:cs="Segoe UI Symbol"/>
          <w:color w:val="000000"/>
        </w:rPr>
        <w:t>★★★★</w:t>
      </w:r>
      <w:r w:rsidRPr="00F4397F">
        <w:rPr>
          <w:rFonts w:asciiTheme="minorHAnsi" w:hAnsiTheme="minorHAnsi" w:cs="MSGothic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o </w:t>
      </w:r>
      <w:r w:rsidRPr="00F4397F">
        <w:rPr>
          <w:rFonts w:ascii="Segoe UI Symbol" w:hAnsi="Segoe UI Symbol" w:cs="Segoe UI Symbol"/>
          <w:color w:val="000000"/>
        </w:rPr>
        <w:t>★★★★★</w:t>
      </w:r>
      <w:r w:rsidRPr="00F4397F">
        <w:rPr>
          <w:rFonts w:asciiTheme="minorHAnsi" w:hAnsiTheme="minorHAnsi" w:cs="MSGothic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(</w:t>
      </w:r>
      <w:proofErr w:type="spellStart"/>
      <w:r w:rsidRPr="00F4397F">
        <w:rPr>
          <w:rFonts w:asciiTheme="minorHAnsi" w:hAnsiTheme="minorHAnsi" w:cs="Segoe UI"/>
          <w:color w:val="000000"/>
        </w:rPr>
        <w:t>Linked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Open Data) se relazionati ad altri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Come descritto nel processo 2.3 Definizione degli obiettivi e opportunità di pubblicazione, nel caso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 cui l’Ente sia in possesso di dati grezzi (cioè non aperti e classificabili come </w:t>
      </w:r>
      <w:r w:rsidRPr="00F4397F">
        <w:rPr>
          <w:rFonts w:ascii="Segoe UI Symbol" w:hAnsi="Segoe UI Symbol" w:cs="Segoe UI Symbol"/>
          <w:color w:val="000000"/>
        </w:rPr>
        <w:t>★</w:t>
      </w:r>
      <w:r w:rsidRPr="00F4397F">
        <w:rPr>
          <w:rFonts w:asciiTheme="minorHAnsi" w:hAnsiTheme="minorHAnsi" w:cs="Segoe UI"/>
          <w:color w:val="000000"/>
        </w:rPr>
        <w:t>), la trasformazione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questi in dati aperti dovrà essere valutata dal Responsabile Open Data, data la sua onerosità, sia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 relazione al valore dei dati, sia in termini di risorse che di tempi.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Nel caso di dati a </w:t>
      </w:r>
      <w:r w:rsidRPr="00F4397F">
        <w:rPr>
          <w:rFonts w:ascii="Segoe UI Symbol" w:hAnsi="Segoe UI Symbol" w:cs="Segoe UI Symbol"/>
          <w:color w:val="000000"/>
        </w:rPr>
        <w:t>★★</w:t>
      </w:r>
      <w:r w:rsidRPr="00F4397F">
        <w:rPr>
          <w:rFonts w:asciiTheme="minorHAnsi" w:hAnsiTheme="minorHAnsi" w:cs="MSGothic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(strutturati, ma in formato proprietario) sarà opportuno convertirli in formati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aperti e raggiungere quindi un livello </w:t>
      </w:r>
      <w:r w:rsidRPr="00F4397F">
        <w:rPr>
          <w:rFonts w:ascii="Segoe UI Symbol" w:hAnsi="Segoe UI Symbol" w:cs="Segoe UI Symbol"/>
          <w:color w:val="000000"/>
        </w:rPr>
        <w:t>★★★</w:t>
      </w:r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 database che potranno generare dati a </w:t>
      </w:r>
      <w:r w:rsidRPr="00F4397F">
        <w:rPr>
          <w:rFonts w:ascii="Segoe UI Symbol" w:hAnsi="Segoe UI Symbol" w:cs="Segoe UI Symbol"/>
          <w:color w:val="000000"/>
        </w:rPr>
        <w:t>★★★★</w:t>
      </w:r>
      <w:r w:rsidRPr="00F4397F">
        <w:rPr>
          <w:rFonts w:asciiTheme="minorHAnsi" w:hAnsiTheme="minorHAnsi" w:cs="MSGothic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o </w:t>
      </w:r>
      <w:r w:rsidRPr="00F4397F">
        <w:rPr>
          <w:rFonts w:ascii="Segoe UI Symbol" w:hAnsi="Segoe UI Symbol" w:cs="Segoe UI Symbol"/>
          <w:color w:val="000000"/>
        </w:rPr>
        <w:t>★★★★★</w:t>
      </w:r>
      <w:r w:rsidRPr="00F4397F">
        <w:rPr>
          <w:rFonts w:asciiTheme="minorHAnsi" w:hAnsiTheme="minorHAnsi" w:cs="MSGothic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avranno bisogno di competenze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tecniche specifiche dello Staff tecnico/operativo (o esterno), in quanto richiedono la costruzione di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basati su standard aperti definiti dalla W3C (come RDF, SPARQL) per identificare le risorse,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 modo che si possano creare collegamenti ai dati.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Infine, non è raro trovare molti dei potenziali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in formato cartaceo.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In tale caso, è necessario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documentare accuratamente lo stato di conservazione, le caratteristiche, la quantità e il formato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primario dei dati (tabelle, testo, immagini), informazioni necessarie ad avviare un progetto di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dematerializzazione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.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dell’Area e il Responsabile Tutela Dati devono essere notificati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sull’esito dell’analisi. Il risultato dell’analisi deve essere anche documentato nel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2.8 </w:t>
      </w:r>
      <w:proofErr w:type="spellStart"/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Dematerializzazione</w:t>
      </w:r>
      <w:proofErr w:type="spellEnd"/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La </w:t>
      </w:r>
      <w:proofErr w:type="spellStart"/>
      <w:r w:rsidRPr="00F4397F">
        <w:rPr>
          <w:rFonts w:asciiTheme="minorHAnsi" w:hAnsiTheme="minorHAnsi" w:cs="Segoe UI"/>
          <w:color w:val="000000"/>
        </w:rPr>
        <w:t>dematerializzazione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dei documenti è il processo mediante il quale gli atti transazionali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(modulistica elettronica, incassi, pagamenti, assunzione o assolvimento di obbligazioni, ecc.) tra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due o più soggetti si realizzano con il supporto informatico per l'acquisizione degli elementi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costitutivi, l'elaborazione, l'archiviazione, il trasporto e la conservazione, con pieno valore tra 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parti e verso i terzi. Il processo di </w:t>
      </w:r>
      <w:proofErr w:type="spellStart"/>
      <w:r w:rsidRPr="00F4397F">
        <w:rPr>
          <w:rFonts w:asciiTheme="minorHAnsi" w:hAnsiTheme="minorHAnsi" w:cs="Segoe UI"/>
          <w:color w:val="000000"/>
        </w:rPr>
        <w:t>dematerializzazione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di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non comprende quindi soltanto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l’attività di scansione dei documenti cartacei e la conversione in file digitali, bensì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reingegnerizzazione della procedura che origina il flusso di dati.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Tale progetto va quindi gestito in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modo esterno alla struttura di gestione degli Open Data, perché impatta in modo diretto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modalità e gli strumenti di lavoro dell’area di appartenenza. Il Responsabile dell’Area è il primo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responsabile per l’avvio e definizione dei requisiti generali della nuova procedura, che deve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sostituire la precedente procedura cartacea. Il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è incaricato della definizione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requisiti specifici della </w:t>
      </w:r>
      <w:proofErr w:type="spellStart"/>
      <w:r w:rsidRPr="00F4397F">
        <w:rPr>
          <w:rFonts w:asciiTheme="minorHAnsi" w:hAnsiTheme="minorHAnsi" w:cs="Segoe UI"/>
          <w:color w:val="000000"/>
        </w:rPr>
        <w:t>dematerializzazione</w:t>
      </w:r>
      <w:proofErr w:type="spellEnd"/>
      <w:r w:rsidRPr="00F4397F">
        <w:rPr>
          <w:rFonts w:asciiTheme="minorHAnsi" w:hAnsiTheme="minorHAnsi" w:cs="Segoe UI"/>
          <w:color w:val="000000"/>
        </w:rPr>
        <w:t>, e di come il nuovo flusso di dati sia meglio integrato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nel ciclo di gestione degli Open Data attraverso costante interfacciamento con il Responsabile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Open Data e lo Staff tecnico/operativo.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2.9 Analisi della struttura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lastRenderedPageBreak/>
        <w:t xml:space="preserve">Il Responsabile Open Data, assieme al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sono responsabili per l’analisi della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struttura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la verifica di adeguamento al livello di apertura dei dati definito nel processo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2.3 Definizione degli obiettivi e opportunità di pubblicazione e la documentazione di eventuali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interventi di re-strutturazione dei dati tramite tecniche di ETL (</w:t>
      </w:r>
      <w:proofErr w:type="spellStart"/>
      <w:r w:rsidRPr="00F4397F">
        <w:rPr>
          <w:rFonts w:asciiTheme="minorHAnsi" w:hAnsiTheme="minorHAnsi" w:cs="Segoe UI"/>
          <w:color w:val="000000"/>
        </w:rPr>
        <w:t>Extract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</w:t>
      </w:r>
      <w:proofErr w:type="spellStart"/>
      <w:r w:rsidRPr="00F4397F">
        <w:rPr>
          <w:rFonts w:asciiTheme="minorHAnsi" w:hAnsiTheme="minorHAnsi" w:cs="Segoe UI"/>
          <w:color w:val="000000"/>
        </w:rPr>
        <w:t>Transformation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</w:t>
      </w:r>
      <w:proofErr w:type="spellStart"/>
      <w:r w:rsidRPr="00F4397F">
        <w:rPr>
          <w:rFonts w:asciiTheme="minorHAnsi" w:hAnsiTheme="minorHAnsi" w:cs="Segoe UI"/>
          <w:color w:val="000000"/>
        </w:rPr>
        <w:t>Load</w:t>
      </w:r>
      <w:proofErr w:type="spellEnd"/>
      <w:r w:rsidRPr="00F4397F">
        <w:rPr>
          <w:rFonts w:asciiTheme="minorHAnsi" w:hAnsiTheme="minorHAnsi" w:cs="Segoe UI"/>
          <w:color w:val="000000"/>
        </w:rPr>
        <w:t>)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15 </w:t>
      </w:r>
      <w:r w:rsidRPr="00F4397F">
        <w:rPr>
          <w:rFonts w:asciiTheme="minorHAnsi" w:hAnsiTheme="minorHAnsi" w:cs="Segoe UI"/>
          <w:color w:val="000000"/>
        </w:rPr>
        <w:t>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selezionare i dati di interesse (ad es.: estrarre tabelle dati da file PDF o MS Word), normalizzare 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 (ad es. eliminando duplicati), derivare nuovi dati calcolati (ad es.: aggiungere una nuova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colonna con la somma dei valori estratti oppure ricavare le coordinate geografiche a partire da un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indirizzo e numero civico),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Le attività di ETL di questo processo non vanno confuse con 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attività specifiche di trattamento dei dati personali eventualmente identificate nel processo 2.11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Analisi dei dati personali, anche se potranno poi costituire un progetto unico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l’implementazione delle regole di trasformazione.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Lo Staff tecnico/operativo può essere consultato per fornire indicazioni e requisiti specifici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l’estrazione e trasformazione di dati in formati non strutturati (immagini, file PDF, MS Word,…) in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 strutturati e allineati agli obiettivi e requisiti di qualità già analizzati nei processi 2.3 Definizione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degli obiettivi e opportunità di pubblicazione e 2.5 Analisi di completezza e qualità minima.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Responsabile dell’Area e il Responsabile Tutela Dati vanno tenuti informati sull’esito dell’analisi.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2.10 Strutturazione del </w:t>
      </w:r>
      <w:proofErr w:type="spellStart"/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dataset</w:t>
      </w:r>
      <w:proofErr w:type="spellEnd"/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Un progetto per la ristrutturazione di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deve considerare non solo gli obiettivi, i requisiti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qualità e gli interventi ETL necessari all’estrazione, trasformazione e caricamento dei dati già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analizzati nei processi precedenti, ma soprattutto la creazione di una catena di valore per il riuso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dei nuovi dati strutturati. Tale catena ha la sua maggiore espressione di valore rappresentata dal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concetto di “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data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as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a service</w:t>
      </w:r>
      <w:r w:rsidRPr="00F4397F">
        <w:rPr>
          <w:rFonts w:asciiTheme="minorHAnsi" w:hAnsiTheme="minorHAnsi" w:cs="Segoe UI"/>
          <w:color w:val="000000"/>
        </w:rPr>
        <w:t>”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16</w:t>
      </w:r>
      <w:r w:rsidRPr="00F4397F">
        <w:rPr>
          <w:rFonts w:asciiTheme="minorHAnsi" w:hAnsiTheme="minorHAnsi" w:cs="Segoe UI"/>
          <w:color w:val="000000"/>
        </w:rPr>
        <w:t>, con l’utilizzo di URI specifiche per l’accesso alle risorse e,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idealmente, un insieme di API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17 </w:t>
      </w:r>
      <w:r w:rsidRPr="00F4397F">
        <w:rPr>
          <w:rFonts w:asciiTheme="minorHAnsi" w:hAnsiTheme="minorHAnsi" w:cs="Segoe UI"/>
          <w:color w:val="000000"/>
        </w:rPr>
        <w:t>(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Application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Programming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Interface</w:t>
      </w:r>
      <w:r w:rsidRPr="00F4397F">
        <w:rPr>
          <w:rFonts w:asciiTheme="minorHAnsi" w:hAnsiTheme="minorHAnsi" w:cs="Segoe UI"/>
          <w:color w:val="000000"/>
        </w:rPr>
        <w:t>) per l’accesso granulare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all’informazione che permetta agli attori sociali (cittadini, organizzazioni,…) di sviluppare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applicazioni o servizi integrati ai dati aperti (c.d. </w:t>
      </w:r>
      <w:r w:rsidRPr="00F4397F">
        <w:rPr>
          <w:rFonts w:asciiTheme="minorHAnsi" w:hAnsiTheme="minorHAnsi" w:cs="Segoe UI"/>
          <w:i/>
          <w:iCs/>
          <w:color w:val="000000"/>
        </w:rPr>
        <w:t>mashups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18</w:t>
      </w:r>
      <w:r w:rsidRPr="00F4397F">
        <w:rPr>
          <w:rFonts w:asciiTheme="minorHAnsi" w:hAnsiTheme="minorHAnsi" w:cs="Segoe UI"/>
          <w:color w:val="000000"/>
        </w:rPr>
        <w:t>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Il progetto andrebbe seguito dal Responsabile Open Data e dal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che, con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supporto dello Staff tecnico/operativo possano assicurare la massima valorizzazione nel riuso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dato come materia prima per nuove attività economiche, maggior vantaggio competitivo per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territorio perché mette in evidenza il loro patrimonio informativo, oltre ai già noti principi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trasparenza, efficienza e collaborazione tra pubblico e privato. Al Responsabile dell’Area, viene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attribuito il ruolo di stabilire il grado di strutturazione da applicare (dalla semplice trasformazione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</w:rPr>
      </w:pPr>
      <w:r w:rsidRPr="00F4397F">
        <w:rPr>
          <w:rFonts w:asciiTheme="minorHAnsi" w:hAnsiTheme="minorHAnsi" w:cs="Calibri"/>
          <w:color w:val="000000"/>
          <w:sz w:val="14"/>
          <w:szCs w:val="14"/>
        </w:rPr>
        <w:t xml:space="preserve">15 </w:t>
      </w:r>
      <w:hyperlink r:id="rId13" w:history="1">
        <w:r w:rsidR="008335D2" w:rsidRPr="004F7D36">
          <w:rPr>
            <w:rStyle w:val="Collegamentoipertestuale"/>
            <w:rFonts w:asciiTheme="minorHAnsi" w:hAnsiTheme="minorHAnsi" w:cs="Calibri"/>
          </w:rPr>
          <w:t>http://it.wikipedia.org/wiki/Extract,_transform,_load</w:t>
        </w:r>
      </w:hyperlink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16 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http://it.wikipedia.org/wiki/Data_as_a_service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17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http://it.wikipedia.org/wiki/Application_programming_interface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18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http://it.wikipedia.org/wiki/Mash-up_(informatica)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="008335D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fino alla messa a disposizione di API specifiche per l’accesso ai dati) tenendo in mente i vantaggi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del modello “data </w:t>
      </w:r>
      <w:proofErr w:type="spellStart"/>
      <w:r w:rsidRPr="00F4397F">
        <w:rPr>
          <w:rFonts w:asciiTheme="minorHAnsi" w:hAnsiTheme="minorHAnsi" w:cs="Segoe UI"/>
          <w:color w:val="000000"/>
        </w:rPr>
        <w:t>as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a service” e valutando, con il supporto dello Staff tecnico/operativo, i costi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complessivi di implementazione.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8335D2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2.11 Analisi dei dati personali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La pubblicazione dei dati dell’Ente in formato aperto e di libero utilizzo non significa automatica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condivisione di tutte le informazioni o accesso indiscriminato alle stesse; se tale eventualità è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sicuramente applicabile ai dati “pubblici” cioè a quei dati che non possono essere riconducibili ad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un soggetto fisico, lo stesso non può valere per la parte dell’informazione pubblica che ha carattere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“personale” (</w:t>
      </w:r>
      <w:proofErr w:type="spellStart"/>
      <w:r w:rsidRPr="00F4397F">
        <w:rPr>
          <w:rFonts w:asciiTheme="minorHAnsi" w:hAnsiTheme="minorHAnsi" w:cs="Segoe UI"/>
          <w:color w:val="000000"/>
        </w:rPr>
        <w:t>es</w:t>
      </w:r>
      <w:proofErr w:type="spellEnd"/>
      <w:r w:rsidRPr="00F4397F">
        <w:rPr>
          <w:rFonts w:asciiTheme="minorHAnsi" w:hAnsiTheme="minorHAnsi" w:cs="Segoe UI"/>
          <w:color w:val="000000"/>
        </w:rPr>
        <w:t>.. registri anagrafici, registri sull’assistenza sociale,…).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Per tali informazioni rimangono validi i principi e le disposizioni contenuti dalle leggi e dai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regolamenti vigenti in tema di garanzia della riservatezza dei soggetti a cui i dati si riferiscono.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 il termine “analisi dei dati personali” si fa quindi riferimento all’attività di valutazione delle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informazioni soggette all’applicazione del d.lgs. 196/2003 “Codice in materia di protezione dei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personali” e delle relative modalità di trattamento.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Il Responsabile Tutela Dati è responsabile dell’analisi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con l’obiettivo di stabilire se, tra 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informazioni che lo compongono, sono comprese le seguenti tipologie di dato: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i/>
          <w:iCs/>
          <w:color w:val="000000"/>
        </w:rPr>
        <w:t>Dati personali</w:t>
      </w:r>
      <w:r w:rsidRPr="00F4397F">
        <w:rPr>
          <w:rFonts w:asciiTheme="minorHAnsi" w:hAnsiTheme="minorHAnsi" w:cs="Segoe UI"/>
          <w:color w:val="000000"/>
        </w:rPr>
        <w:t xml:space="preserve">, ossia “qualunque informazione relativa </w:t>
      </w:r>
      <w:r w:rsidRPr="00F4397F">
        <w:rPr>
          <w:rFonts w:asciiTheme="minorHAnsi" w:hAnsiTheme="minorHAnsi" w:cs="Segoe UI"/>
          <w:b/>
          <w:bCs/>
          <w:color w:val="000000"/>
        </w:rPr>
        <w:t>a persona fisica</w:t>
      </w:r>
      <w:r w:rsidRPr="00F4397F">
        <w:rPr>
          <w:rFonts w:asciiTheme="minorHAnsi" w:hAnsiTheme="minorHAnsi" w:cs="Segoe UI"/>
          <w:color w:val="000000"/>
        </w:rPr>
        <w:t>, identificata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identificabile, anche indirettamente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19</w:t>
      </w:r>
      <w:r w:rsidRPr="00F4397F">
        <w:rPr>
          <w:rFonts w:asciiTheme="minorHAnsi" w:hAnsiTheme="minorHAnsi" w:cs="Segoe UI"/>
          <w:color w:val="000000"/>
        </w:rPr>
        <w:t>, mediante riferimento a qualsiasi altra informazione,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ivi compreso un numero di identificazione personale” (art. 4, comma 1, lett. b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d.lgs.196/2003).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i/>
          <w:iCs/>
          <w:color w:val="000000"/>
        </w:rPr>
        <w:t>Dati sensibili</w:t>
      </w:r>
      <w:r w:rsidRPr="00F4397F">
        <w:rPr>
          <w:rFonts w:asciiTheme="minorHAnsi" w:hAnsiTheme="minorHAnsi" w:cs="Segoe UI"/>
          <w:color w:val="000000"/>
        </w:rPr>
        <w:t>, ossia “dati personali idonei a rivelare l'origine razziale ed etnica, le convinzioni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religiose, filosofiche o di altro genere, le opinioni politiche, l'adesione a partiti, sindacati,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associazioni od organizzazioni a carattere religioso, filosofico, politico o sindacale, nonché 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 personali idonei a rivelare lo stato di salute e la vita sessuale” (art. 4, comma e, lett. b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 d.lgs.196/2003).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i/>
          <w:iCs/>
          <w:color w:val="000000"/>
        </w:rPr>
        <w:t>Dati giudiziari</w:t>
      </w:r>
      <w:r w:rsidRPr="00F4397F">
        <w:rPr>
          <w:rFonts w:asciiTheme="minorHAnsi" w:hAnsiTheme="minorHAnsi" w:cs="Segoe UI"/>
          <w:color w:val="000000"/>
        </w:rPr>
        <w:t>, ossia “dati personali idonei a rivelare provvedimenti di cui all'articolo 3,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comma 1, lettere da a) a o) e da r) a u), del </w:t>
      </w:r>
      <w:proofErr w:type="spellStart"/>
      <w:r w:rsidRPr="00F4397F">
        <w:rPr>
          <w:rFonts w:asciiTheme="minorHAnsi" w:hAnsiTheme="minorHAnsi" w:cs="Segoe UI"/>
          <w:color w:val="000000"/>
        </w:rPr>
        <w:t>d.P.R.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14 novembre 2002, n. 313, in materia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casellario giudiziale, di anagrafe delle sanzioni amministrative dipendenti da reato e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relativi carichi pendenti, o la qualità di imputato o di indagato ai sensi degli articoli 60 e 61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 codice di procedura penale (art. 4, comma 1, lett. b del d.lgs.196/2003).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Nel caso in cui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contenga le suddette tipologie di informazioni, il Responsabile Tutela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deve accertarsi, con il supporto delle funzioni competenti, che l’Ente: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19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Ad esempio codice fiscale.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br w:type="page"/>
      </w:r>
      <w:r w:rsidR="00802942">
        <w:rPr>
          <w:rFonts w:asciiTheme="minorHAnsi" w:hAnsiTheme="minorHAnsi" w:cs="Segoe UI"/>
          <w:color w:val="000000"/>
        </w:rPr>
        <w:lastRenderedPageBreak/>
        <w:t xml:space="preserve"> </w:t>
      </w:r>
      <w:r w:rsidRPr="00F4397F">
        <w:rPr>
          <w:rFonts w:asciiTheme="minorHAnsi" w:hAnsiTheme="minorHAnsi" w:cs="Segoe UI"/>
          <w:color w:val="000000"/>
        </w:rPr>
        <w:t>a. abbia già osservato i principi generali prescritti per il trattamento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20 </w:t>
      </w:r>
      <w:r w:rsidRPr="00F4397F">
        <w:rPr>
          <w:rFonts w:asciiTheme="minorHAnsi" w:hAnsiTheme="minorHAnsi" w:cs="Segoe UI"/>
          <w:color w:val="000000"/>
        </w:rPr>
        <w:t>dei dai nella loro origine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 particolare riguardo a quelli applicabili ai soggetti pubblici;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b. abbia posto in essere gli adempimenti per la corretta applicazione della normativa.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Un quadro unitario delle regole che i soggetti pubblici sono tenuti ad applicare in relazione alle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ipotesi di pubblicazione di dati personali sui propri siti istituzionali per finalità di trasparenza,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pubblicità dell'azione amministrativa, nonché di consultazione di atti su iniziativa di singoli soggetti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è contenuto nella Deliberazione 088/2011 del Garante Privacy “Linee guida in materia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trattamento di dati personali contenuti anche in atti e documenti amministrativi, effettuato da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soggetti pubblici per finalità di pubblicazione e diffusione sul web”. Considerando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contenenti dati personali occorre tener presente che in generale un ente pubblico: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non può procedere alla diffusione dei dati idonei a rivelare lo stato di salute (art. 22, comma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8 del d.lgs. 196/2003);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nel caso di trattamenti di </w:t>
      </w:r>
      <w:r w:rsidRPr="00F4397F">
        <w:rPr>
          <w:rFonts w:asciiTheme="minorHAnsi" w:hAnsiTheme="minorHAnsi" w:cs="Segoe UI"/>
          <w:i/>
          <w:iCs/>
          <w:color w:val="000000"/>
        </w:rPr>
        <w:t>dati diversi da quelli sensibili e giudiziari</w:t>
      </w:r>
      <w:r w:rsidRPr="00F4397F">
        <w:rPr>
          <w:rFonts w:asciiTheme="minorHAnsi" w:hAnsiTheme="minorHAnsi" w:cs="Segoe UI"/>
          <w:color w:val="000000"/>
        </w:rPr>
        <w:t>, (art. 19 del d.lgs.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196/2003):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Courier New"/>
          <w:color w:val="000000"/>
        </w:rPr>
        <w:t xml:space="preserve">o </w:t>
      </w:r>
      <w:r w:rsidRPr="00F4397F">
        <w:rPr>
          <w:rFonts w:asciiTheme="minorHAnsi" w:hAnsiTheme="minorHAnsi" w:cs="Segoe UI"/>
          <w:color w:val="000000"/>
        </w:rPr>
        <w:t>la comunicazione ad altri soggetti pubblici è ammessa quando è prevista da una norma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legge o di regolamento. In mancanza di tale norma la comunicazione è ammessa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quando è comunque necessaria per lo svolgimento di funzioni istituzionali e può essere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iniziata se sia stata data comunicazione al Garante ai sensi dell’art. 39 del d.lgs.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196/2003 e sia decorso il termine di 45 giorni dal ricevimento della comunicazione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non è stata adottata una diversa determinazione del Garante.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Courier New"/>
          <w:color w:val="000000"/>
        </w:rPr>
        <w:t xml:space="preserve">o </w:t>
      </w:r>
      <w:r w:rsidRPr="00F4397F">
        <w:rPr>
          <w:rFonts w:asciiTheme="minorHAnsi" w:hAnsiTheme="minorHAnsi" w:cs="Segoe UI"/>
          <w:color w:val="000000"/>
        </w:rPr>
        <w:t>la comunicazione a privati o a enti pubblici economici e la diffusione sono ammesse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unicamente quando sono previste da una norma di legge o di regolamento.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Una volta completate le verifiche preliminari circa l’osservanza dei principi e la messa in opera degli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adempimenti prescritti dalla normativa privacy, il Responsabile Tutela Dati deve inoltre verificare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che non sussistano le prescrizioni legislative dettate in tema di divieto di comunicazione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21 </w:t>
      </w:r>
      <w:r w:rsidRPr="00F4397F">
        <w:rPr>
          <w:rFonts w:asciiTheme="minorHAnsi" w:hAnsiTheme="minorHAnsi" w:cs="Segoe UI"/>
          <w:color w:val="000000"/>
        </w:rPr>
        <w:t>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diffusione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22 </w:t>
      </w:r>
      <w:r w:rsidRPr="00F4397F">
        <w:rPr>
          <w:rFonts w:asciiTheme="minorHAnsi" w:hAnsiTheme="minorHAnsi" w:cs="Segoe UI"/>
          <w:color w:val="000000"/>
        </w:rPr>
        <w:t>dei dati da parte di un soggetto pubblico negli art. 19 e 25 del d.lgs. 196/2003.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8335D2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20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Per “trattamento" si intende qualunque operazione o complesso di operazioni, effettuati anche senza l'ausilio di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strumenti elettronici, concernenti la raccolta, la registrazione, l'organizzazione, la conservazione, la consultazione,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l'elaborazione, la modificazione, la selezione, l'estrazione, il raffronto, l'utilizzo, l'interconnessione, il blocco, la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comunicazione, la diffusione, la cancellazione e la distruzione di dati, anche se non registrati in una banca di dati (art.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4, comma 1, lett. a del d.lgs.196/2003).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21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 xml:space="preserve">Per </w:t>
      </w:r>
      <w:r w:rsidRPr="00F4397F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comunicazione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si intende “il dare conoscenza dei dati personali a uno o più soggetti determinati diversi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dall'interessato, dal rappresentante del titolare nel territorio dello Stato, dal responsabile e dagli incaricati, in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qualunque forma, anche mediante la loro messa a disposizione o consultazione” (art. 4, comma e, lett. l del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d.lgs.196/2003).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22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 xml:space="preserve">Per </w:t>
      </w:r>
      <w:r w:rsidRPr="00F4397F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diffusione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si intende “il dare conoscenza dei dati personali a soggetti indeterminati, in qualunque forma, anche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mediante la loro messa a disposizione o consultazione” (art. 4, comma e, lett. m del d.lgs.196/2003).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La pubblicazione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deve avvenire nel rispetto dei “Limiti alla trasparenza” fissati all’art. 4,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commi 1, 2, 3 e 4 </w:t>
      </w:r>
      <w:r w:rsidRPr="00F4397F">
        <w:rPr>
          <w:rFonts w:asciiTheme="minorHAnsi" w:hAnsiTheme="minorHAnsi" w:cs="Segoe UI"/>
          <w:color w:val="000000"/>
        </w:rPr>
        <w:t>del d.lgs. 33/2013. In funzione dell’analisi sui dati personali basata sul d.lgs.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196/2003 si possono presentare i seguenti casi: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1° caso: Pubblicazione di dati </w:t>
      </w:r>
      <w:r w:rsidRPr="00F4397F">
        <w:rPr>
          <w:rFonts w:asciiTheme="minorHAnsi" w:hAnsiTheme="minorHAnsi" w:cs="Segoe UI"/>
          <w:b/>
          <w:bCs/>
          <w:color w:val="000000"/>
        </w:rPr>
        <w:t>personali, sensibili e giudiziari senza nessun tipo di operazioni</w:t>
      </w:r>
      <w:r w:rsidR="00802942">
        <w:rPr>
          <w:rFonts w:asciiTheme="minorHAnsi" w:hAnsiTheme="minorHAnsi" w:cs="Segoe UI"/>
          <w:b/>
          <w:bCs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preliminari sui dati.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Se ricorrono i presupposti del citato art. 18 del d.lgs. 196/2003 (svolgimento di funzioni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istituzionali) e </w:t>
      </w:r>
      <w:r w:rsidRPr="00F4397F">
        <w:rPr>
          <w:rFonts w:asciiTheme="minorHAnsi" w:hAnsiTheme="minorHAnsi" w:cs="Segoe UI"/>
          <w:color w:val="000000"/>
        </w:rPr>
        <w:lastRenderedPageBreak/>
        <w:t>non sussiste uno specifico divieto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23</w:t>
      </w:r>
      <w:r w:rsidRPr="00F4397F">
        <w:rPr>
          <w:rFonts w:asciiTheme="minorHAnsi" w:hAnsiTheme="minorHAnsi" w:cs="Segoe UI"/>
          <w:color w:val="000000"/>
        </w:rPr>
        <w:t xml:space="preserve">. Il 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comma 1 </w:t>
      </w:r>
      <w:r w:rsidRPr="00F4397F">
        <w:rPr>
          <w:rFonts w:asciiTheme="minorHAnsi" w:hAnsiTheme="minorHAnsi" w:cs="Segoe UI"/>
          <w:color w:val="000000"/>
        </w:rPr>
        <w:t>dell’art. 4 del d.lgs. 33/2013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dispone la possibilità di una diffusione di dati </w:t>
      </w:r>
      <w:r w:rsidRPr="00F4397F">
        <w:rPr>
          <w:rFonts w:asciiTheme="minorHAnsi" w:hAnsiTheme="minorHAnsi" w:cs="Segoe UI"/>
          <w:b/>
          <w:bCs/>
          <w:color w:val="000000"/>
        </w:rPr>
        <w:t xml:space="preserve">personali </w:t>
      </w:r>
      <w:r w:rsidRPr="00F4397F">
        <w:rPr>
          <w:rFonts w:asciiTheme="minorHAnsi" w:hAnsiTheme="minorHAnsi" w:cs="Segoe UI"/>
          <w:color w:val="000000"/>
        </w:rPr>
        <w:t>attraverso siti istituzionali anche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 modalità che ne consentono la indicizzazione e la rintracciabilità tramite i motori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ricerca web ed il loro riutilizzo ai sensi dell'articolo 7 del d.lgs. 33/2013.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Se è ridotta al minimo l'utilizzazione di dati personali (v. art. 3 del d.lgs. 196/2003) è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possibile la pubblicazione nei siti istituzionali di dati relativi a titolari di organi di indirizzo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politico e di uffici o incarichi di diretta collaborazione, nonché a dirigenti titolari degli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organi amministrativi. Il </w:t>
      </w:r>
      <w:r w:rsidRPr="00F4397F">
        <w:rPr>
          <w:rFonts w:asciiTheme="minorHAnsi" w:hAnsiTheme="minorHAnsi" w:cs="Segoe UI"/>
          <w:i/>
          <w:iCs/>
          <w:color w:val="000000"/>
        </w:rPr>
        <w:t>comma 4</w:t>
      </w:r>
      <w:r w:rsidRPr="00F4397F">
        <w:rPr>
          <w:rFonts w:asciiTheme="minorHAnsi" w:hAnsiTheme="minorHAnsi" w:cs="Segoe UI"/>
          <w:color w:val="000000"/>
        </w:rPr>
        <w:t>, nei casi in cui norme di legge o di regolamento lo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prevedano, dispone la pubblicazione (PUBBLICAZIONE OBBLIGATORIA) di atti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documenti che contengono dati personali pertinenti </w:t>
      </w:r>
      <w:proofErr w:type="spellStart"/>
      <w:r w:rsidRPr="00F4397F">
        <w:rPr>
          <w:rFonts w:asciiTheme="minorHAnsi" w:hAnsiTheme="minorHAnsi" w:cs="Segoe UI"/>
          <w:color w:val="000000"/>
        </w:rPr>
        <w:t>nonchè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dati sensibili e/o giudiziari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indispensabili rispetto alle specifiche finalità di trasparenza della pubblicazione.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2° caso: Pubblicazione di dati informazioni e documenti </w:t>
      </w:r>
      <w:r w:rsidRPr="00F4397F">
        <w:rPr>
          <w:rFonts w:asciiTheme="minorHAnsi" w:hAnsiTheme="minorHAnsi" w:cs="Segoe UI"/>
          <w:b/>
          <w:bCs/>
          <w:color w:val="000000"/>
        </w:rPr>
        <w:t>con operazioni preliminari di</w:t>
      </w:r>
      <w:r w:rsidR="00802942">
        <w:rPr>
          <w:rFonts w:asciiTheme="minorHAnsi" w:hAnsiTheme="minorHAnsi" w:cs="Segoe UI"/>
          <w:b/>
          <w:bCs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b/>
          <w:bCs/>
          <w:color w:val="000000"/>
        </w:rPr>
        <w:t>anonimizzazione</w:t>
      </w:r>
      <w:proofErr w:type="spellEnd"/>
      <w:r w:rsidRPr="00F4397F">
        <w:rPr>
          <w:rFonts w:asciiTheme="minorHAnsi" w:hAnsiTheme="minorHAnsi" w:cs="Segoe UI"/>
          <w:b/>
          <w:bCs/>
          <w:color w:val="000000"/>
        </w:rPr>
        <w:t xml:space="preserve"> dei dati personali </w:t>
      </w:r>
      <w:r w:rsidRPr="00F4397F">
        <w:rPr>
          <w:rFonts w:asciiTheme="minorHAnsi" w:hAnsiTheme="minorHAnsi" w:cs="Segoe UI"/>
          <w:color w:val="000000"/>
        </w:rPr>
        <w:t>eventualmente presenti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Il 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comma </w:t>
      </w:r>
      <w:r w:rsidRPr="00F4397F">
        <w:rPr>
          <w:rFonts w:asciiTheme="minorHAnsi" w:hAnsiTheme="minorHAnsi" w:cs="Segoe UI"/>
          <w:color w:val="000000"/>
        </w:rPr>
        <w:t>3 dispone la possibilità di pubblicazione nei siti istituzionali di dati, informazioni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 documenti per i quali non c’è l'obbligo di pubblicazione ai sensi del d.lgs. 33/2013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sulla base di specifica previsione di legge o regolamento (PUBBLICAZIONE FACOLTATIVA),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fermi restando i limiti e le condizioni espressamente previsti da disposizioni di legge,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procedendo alla anonimizzazione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24 </w:t>
      </w:r>
      <w:r w:rsidRPr="00F4397F">
        <w:rPr>
          <w:rFonts w:asciiTheme="minorHAnsi" w:hAnsiTheme="minorHAnsi" w:cs="Segoe UI"/>
          <w:color w:val="000000"/>
        </w:rPr>
        <w:t>dei dati personali eventualmente presenti.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3° caso: Pubblicazione di dati informazioni e documenti </w:t>
      </w:r>
      <w:r w:rsidRPr="00F4397F">
        <w:rPr>
          <w:rFonts w:asciiTheme="minorHAnsi" w:hAnsiTheme="minorHAnsi" w:cs="Segoe UI"/>
          <w:b/>
          <w:bCs/>
          <w:color w:val="000000"/>
        </w:rPr>
        <w:t>con operazioni preliminari di</w:t>
      </w:r>
      <w:r w:rsidR="00802942">
        <w:rPr>
          <w:rFonts w:asciiTheme="minorHAnsi" w:hAnsiTheme="minorHAnsi" w:cs="Segoe UI"/>
          <w:b/>
          <w:bCs/>
          <w:color w:val="000000"/>
        </w:rPr>
        <w:t xml:space="preserve"> </w:t>
      </w:r>
      <w:r w:rsidRPr="00F4397F">
        <w:rPr>
          <w:rFonts w:asciiTheme="minorHAnsi" w:hAnsiTheme="minorHAnsi" w:cs="Segoe UI"/>
          <w:b/>
          <w:bCs/>
          <w:color w:val="000000"/>
        </w:rPr>
        <w:t>inintelligibilità dei dati personali, sensibili e giudiziari</w:t>
      </w:r>
      <w:r w:rsidR="00802942">
        <w:rPr>
          <w:rFonts w:asciiTheme="minorHAnsi" w:hAnsiTheme="minorHAnsi" w:cs="Segoe UI"/>
          <w:b/>
          <w:bCs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Il </w:t>
      </w:r>
      <w:r w:rsidRPr="00F4397F">
        <w:rPr>
          <w:rFonts w:asciiTheme="minorHAnsi" w:hAnsiTheme="minorHAnsi" w:cs="Segoe UI"/>
          <w:i/>
          <w:iCs/>
          <w:color w:val="000000"/>
        </w:rPr>
        <w:t>comma 4</w:t>
      </w:r>
      <w:r w:rsidRPr="00F4397F">
        <w:rPr>
          <w:rFonts w:asciiTheme="minorHAnsi" w:hAnsiTheme="minorHAnsi" w:cs="Segoe UI"/>
          <w:color w:val="000000"/>
        </w:rPr>
        <w:t>, nei casi in cui norme di legge o di regolamento lo prevedano, dispone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pubblicazione (PUBBLICAZIONE OBBLIGATORIA) di atti o documenti purché le pubbliche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amministrazioni provvedono a rendere non intelligibili i dati personali non pertinenti o, se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sensibili o giudiziari, non indispensabili rispetto alle specifiche finalità di trasparenza della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pubblicazione.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23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Per l’art. 25 del d.lgs. 196/2003 comunicazione e diffusione sono esclusi in presenza di espliciti divieti del garante,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ordini di cancellazione e decorrenza del periodo di conservazione.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Calibri"/>
          <w:color w:val="000000"/>
          <w:sz w:val="14"/>
          <w:szCs w:val="14"/>
        </w:rPr>
        <w:t xml:space="preserve">24 </w:t>
      </w:r>
      <w:r w:rsidRPr="00F4397F">
        <w:rPr>
          <w:rFonts w:asciiTheme="minorHAnsi" w:hAnsiTheme="minorHAnsi" w:cs="Calibri"/>
          <w:color w:val="000000"/>
        </w:rPr>
        <w:t xml:space="preserve">Sono da considerare </w:t>
      </w:r>
      <w:r w:rsidRPr="00F4397F">
        <w:rPr>
          <w:rFonts w:asciiTheme="minorHAnsi" w:hAnsiTheme="minorHAnsi" w:cs="Calibri"/>
          <w:i/>
          <w:iCs/>
          <w:color w:val="000000"/>
        </w:rPr>
        <w:t xml:space="preserve">anonimi </w:t>
      </w:r>
      <w:r w:rsidRPr="00F4397F">
        <w:rPr>
          <w:rFonts w:asciiTheme="minorHAnsi" w:hAnsiTheme="minorHAnsi" w:cs="Calibri"/>
          <w:color w:val="000000"/>
        </w:rPr>
        <w:t>i dati che in origine, o in seguito a trattamento, non possono essere</w:t>
      </w:r>
      <w:r w:rsidR="00802942">
        <w:rPr>
          <w:rFonts w:asciiTheme="minorHAnsi" w:hAnsiTheme="minorHAnsi" w:cs="Calibri"/>
          <w:color w:val="000000"/>
        </w:rPr>
        <w:t xml:space="preserve"> </w:t>
      </w:r>
      <w:r w:rsidRPr="00F4397F">
        <w:rPr>
          <w:rFonts w:asciiTheme="minorHAnsi" w:hAnsiTheme="minorHAnsi" w:cs="Calibri"/>
          <w:color w:val="000000"/>
        </w:rPr>
        <w:t>associati ad una persona fisica identificata o identificabile.</w:t>
      </w:r>
      <w:r w:rsidR="00802942">
        <w:rPr>
          <w:rFonts w:asciiTheme="minorHAnsi" w:hAnsiTheme="minorHAnsi" w:cs="Calibr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Resta fermo il limite alla diffusione dei dati idonei a rivelare lo stato di salute e la vita sessuale (art.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4, 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comma 6 </w:t>
      </w:r>
      <w:r w:rsidRPr="00F4397F">
        <w:rPr>
          <w:rFonts w:asciiTheme="minorHAnsi" w:hAnsiTheme="minorHAnsi" w:cs="Segoe UI"/>
          <w:color w:val="000000"/>
        </w:rPr>
        <w:t>del d.lgs. 33/2013). A conclusione del processo, il Responsabile Tutela Dati aggiorna la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 con i risultati dell’analisi sui dati personali.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2.12 Tecniche di trattamento dei dati personali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Con il termine “tecniche di trattamento” si fa riferimento all’attività di individuazione degli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strumenti tecnici per la protezione della privacy, necessari all’utilizzo dei dati personali da parte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dell’Ente finalizzati alla pubblicazione in formato aperto e di libero utilizzo.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Tale attività, strettamente dipendente dagli output del processo 2.11 Analisi dei dati personali, ha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come obiettivo la tutela della riservatezza dei soggetti a cui i dati fanno riferimento, eliminando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minimizzando i dati personali allo scopo di prevenire processi non necessari e illegittimi, senza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ciò pregiudichi le finalità di trasparenza e di comunicazione alla base dell’Open Data.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 funzione dei risultati dell’Analisi dei dati personali riportata sulla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checklist,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Responsabile Tutela Dati fornirà le indicazioni a cui lo staff tecnico operativo dovrà attenersi.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La principale tecnica di trattamento che minimizza o elimina del tutto l’utilizzo di dati personali è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l’</w:t>
      </w:r>
      <w:proofErr w:type="spellStart"/>
      <w:r w:rsidRPr="00F4397F">
        <w:rPr>
          <w:rFonts w:asciiTheme="minorHAnsi" w:hAnsiTheme="minorHAnsi" w:cs="Segoe UI"/>
          <w:color w:val="000000"/>
        </w:rPr>
        <w:t>anonimizzazione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.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lastRenderedPageBreak/>
        <w:t>Il “dato anonimo” è il dato che non può essere associato ad un interessato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identificato o identificabile.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Nell’ambito della comunicazione e diffusione, l’identificazione dell’interessato è posta in relazione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ai mezzi ragionevolmente utilizzabili per procedere all’identificazione (risorse economiche,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tempo, archivi, risorse hardware e software,…) nonché alla probabilità di identificare l'interessato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rispetto agli effetti di una violazione dei diritti degli interessati (rischio di identificazione)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25</w:t>
      </w:r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La normativa privacy fornisce esempi diversi di tecniche di </w:t>
      </w:r>
      <w:proofErr w:type="spellStart"/>
      <w:r w:rsidRPr="00F4397F">
        <w:rPr>
          <w:rFonts w:asciiTheme="minorHAnsi" w:hAnsiTheme="minorHAnsi" w:cs="Segoe UI"/>
          <w:color w:val="000000"/>
        </w:rPr>
        <w:t>anonimizzazione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in relazione 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specifiche categorie di dati ma che possono costituire un valido riferimento anche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l’individuazione delle tecniche di </w:t>
      </w:r>
      <w:proofErr w:type="spellStart"/>
      <w:r w:rsidRPr="00F4397F">
        <w:rPr>
          <w:rFonts w:asciiTheme="minorHAnsi" w:hAnsiTheme="minorHAnsi" w:cs="Segoe UI"/>
          <w:color w:val="000000"/>
        </w:rPr>
        <w:t>anonimizzazione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da adottarsi ad altre categorie di dati: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a. La prima che potremmo definire “</w:t>
      </w:r>
      <w:proofErr w:type="spellStart"/>
      <w:r w:rsidRPr="00F4397F">
        <w:rPr>
          <w:rFonts w:asciiTheme="minorHAnsi" w:hAnsiTheme="minorHAnsi" w:cs="Segoe UI"/>
          <w:b/>
          <w:bCs/>
          <w:color w:val="000000"/>
        </w:rPr>
        <w:t>anonimizzazione</w:t>
      </w:r>
      <w:proofErr w:type="spellEnd"/>
      <w:r w:rsidRPr="00F4397F">
        <w:rPr>
          <w:rFonts w:asciiTheme="minorHAnsi" w:hAnsiTheme="minorHAnsi" w:cs="Segoe UI"/>
          <w:b/>
          <w:bCs/>
          <w:color w:val="000000"/>
        </w:rPr>
        <w:t xml:space="preserve"> con chiave di collegamento o</w:t>
      </w:r>
      <w:r w:rsidR="00802942">
        <w:rPr>
          <w:rFonts w:asciiTheme="minorHAnsi" w:hAnsiTheme="minorHAnsi" w:cs="Segoe UI"/>
          <w:b/>
          <w:bCs/>
          <w:color w:val="000000"/>
        </w:rPr>
        <w:t xml:space="preserve"> </w:t>
      </w:r>
      <w:r w:rsidRPr="00F4397F">
        <w:rPr>
          <w:rFonts w:asciiTheme="minorHAnsi" w:hAnsiTheme="minorHAnsi" w:cs="Segoe UI"/>
          <w:b/>
          <w:bCs/>
          <w:color w:val="000000"/>
        </w:rPr>
        <w:t>mascheramento</w:t>
      </w:r>
      <w:r w:rsidRPr="00F4397F">
        <w:rPr>
          <w:rFonts w:asciiTheme="minorHAnsi" w:hAnsiTheme="minorHAnsi" w:cs="Segoe UI"/>
          <w:color w:val="000000"/>
        </w:rPr>
        <w:t>” è il trattamento prescritto nel caso in cui i dati personali detenuti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scopi statistici siano oggetto di comunicazione a soggetti privati che non facciano parte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Sistema statistico nazionale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26</w:t>
      </w:r>
      <w:r w:rsidRPr="00F4397F">
        <w:rPr>
          <w:rFonts w:asciiTheme="minorHAnsi" w:hAnsiTheme="minorHAnsi" w:cs="Segoe UI"/>
          <w:color w:val="000000"/>
        </w:rPr>
        <w:t>. Tali informazioni devono essere comunicati sotto forma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collezioni campionarie, dati individuali privi di riferimenti con l’interessato. Le informazioni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devono cioè riferirsi a soggetti identificati da un codice. La chiave che crea il collegamento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tra il codice e i soggetti stessi rimane in possesso del Titolare.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00"/>
          <w:sz w:val="13"/>
          <w:szCs w:val="13"/>
        </w:rPr>
      </w:pPr>
      <w:r w:rsidRPr="00F4397F">
        <w:rPr>
          <w:rFonts w:asciiTheme="minorHAnsi" w:hAnsiTheme="minorHAnsi" w:cs="Segoe UI"/>
          <w:color w:val="000000"/>
        </w:rPr>
        <w:t>b. La seconda che potremmo definire “</w:t>
      </w:r>
      <w:r w:rsidRPr="00F4397F">
        <w:rPr>
          <w:rFonts w:asciiTheme="minorHAnsi" w:hAnsiTheme="minorHAnsi" w:cs="Segoe UI"/>
          <w:b/>
          <w:bCs/>
          <w:color w:val="000000"/>
        </w:rPr>
        <w:t>offuscamento</w:t>
      </w:r>
      <w:r w:rsidRPr="00F4397F">
        <w:rPr>
          <w:rFonts w:asciiTheme="minorHAnsi" w:hAnsiTheme="minorHAnsi" w:cs="Segoe UI"/>
          <w:color w:val="000000"/>
        </w:rPr>
        <w:t>” o “</w:t>
      </w:r>
      <w:r w:rsidRPr="00F4397F">
        <w:rPr>
          <w:rFonts w:asciiTheme="minorHAnsi" w:hAnsiTheme="minorHAnsi" w:cs="Segoe UI"/>
          <w:b/>
          <w:bCs/>
          <w:color w:val="000000"/>
        </w:rPr>
        <w:t>oscuramento</w:t>
      </w:r>
      <w:r w:rsidRPr="00F4397F">
        <w:rPr>
          <w:rFonts w:asciiTheme="minorHAnsi" w:hAnsiTheme="minorHAnsi" w:cs="Segoe UI"/>
          <w:color w:val="000000"/>
        </w:rPr>
        <w:t>” è il trattamento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prescritto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27 </w:t>
      </w:r>
      <w:r w:rsidRPr="00F4397F">
        <w:rPr>
          <w:rFonts w:asciiTheme="minorHAnsi" w:hAnsiTheme="minorHAnsi" w:cs="Segoe UI"/>
          <w:color w:val="000000"/>
        </w:rPr>
        <w:t>nel caso in cui su richiesta dell’interessato, o disposta “d’ufficio” dall’Autorità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="00802942">
        <w:rPr>
          <w:rFonts w:asciiTheme="minorHAnsi" w:hAnsiTheme="minorHAnsi" w:cs="Calibri"/>
          <w:color w:val="000000"/>
          <w:sz w:val="13"/>
          <w:szCs w:val="13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25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Art. 3 Allegato A.3 del Codice Privacy “Codice di deontologia e di buona condotta per i trattamenti di dati personali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per scopi statistici e scientifici effettuati nell’ambito del Sistema statistico nazionale”.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26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Art. 7 Allegato A.3 del Codice Privacy “Codice di deontologia e di buona condotta per i trattamenti di dati personali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per scopi statistici e scientifici effettuati nell’ambito del Sistema statistico nazionale”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802942">
        <w:rPr>
          <w:rFonts w:asciiTheme="minorHAnsi" w:hAnsiTheme="minorHAnsi" w:cs="Calibri"/>
          <w:color w:val="000000"/>
          <w:sz w:val="13"/>
          <w:szCs w:val="13"/>
        </w:rPr>
        <w:t xml:space="preserve">27 </w:t>
      </w:r>
      <w:r w:rsidRPr="00802942">
        <w:rPr>
          <w:rFonts w:asciiTheme="minorHAnsi" w:hAnsiTheme="minorHAnsi" w:cs="Calibri"/>
          <w:color w:val="000000"/>
          <w:sz w:val="20"/>
          <w:szCs w:val="20"/>
        </w:rPr>
        <w:t xml:space="preserve">Art. 52, </w:t>
      </w:r>
      <w:proofErr w:type="spellStart"/>
      <w:r w:rsidRPr="00802942">
        <w:rPr>
          <w:rFonts w:asciiTheme="minorHAnsi" w:hAnsiTheme="minorHAnsi" w:cs="Calibri"/>
          <w:color w:val="000000"/>
          <w:sz w:val="20"/>
          <w:szCs w:val="20"/>
        </w:rPr>
        <w:t>co</w:t>
      </w:r>
      <w:proofErr w:type="spellEnd"/>
      <w:r w:rsidRPr="00802942">
        <w:rPr>
          <w:rFonts w:asciiTheme="minorHAnsi" w:hAnsiTheme="minorHAnsi" w:cs="Calibri"/>
          <w:color w:val="000000"/>
          <w:sz w:val="20"/>
          <w:szCs w:val="20"/>
        </w:rPr>
        <w:t>. 1-4 del d.lgs. 196/2003</w:t>
      </w:r>
      <w:r w:rsidR="00802942" w:rsidRP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giudiziaria, siano precluse l'indicazione delle generalità e degli altri dati identificativi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dell'interessato in caso di riproduzione della sentenza o provvedimento in qualsiasi forma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per finalità di informazione giuridica, su riviste giuridiche, supporti elettronici o mediante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reti di comunicazione elettronica.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c. La terza, che fornisce una tutela più ampia delle precedenti e che potremmo definire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“</w:t>
      </w:r>
      <w:proofErr w:type="spellStart"/>
      <w:r w:rsidRPr="00F4397F">
        <w:rPr>
          <w:rFonts w:asciiTheme="minorHAnsi" w:hAnsiTheme="minorHAnsi" w:cs="Segoe UI"/>
          <w:b/>
          <w:bCs/>
          <w:color w:val="000000"/>
        </w:rPr>
        <w:t>anonimizzazione</w:t>
      </w:r>
      <w:proofErr w:type="spellEnd"/>
      <w:r w:rsidRPr="00F4397F">
        <w:rPr>
          <w:rFonts w:asciiTheme="minorHAnsi" w:hAnsiTheme="minorHAnsi" w:cs="Segoe UI"/>
          <w:b/>
          <w:bCs/>
          <w:color w:val="000000"/>
        </w:rPr>
        <w:t xml:space="preserve"> in senso stretto</w:t>
      </w:r>
      <w:r w:rsidRPr="00F4397F">
        <w:rPr>
          <w:rFonts w:asciiTheme="minorHAnsi" w:hAnsiTheme="minorHAnsi" w:cs="Segoe UI"/>
          <w:color w:val="000000"/>
        </w:rPr>
        <w:t>”, è il trattamento prescritto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28 </w:t>
      </w:r>
      <w:r w:rsidRPr="00F4397F">
        <w:rPr>
          <w:rFonts w:asciiTheme="minorHAnsi" w:hAnsiTheme="minorHAnsi" w:cs="Segoe UI"/>
          <w:color w:val="000000"/>
        </w:rPr>
        <w:t>in caso di diffusione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 dei minori e delle parti nei procedimenti giudiziari in materia di rapporti di famiglia 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stato delle persone.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La norma impone di omettere non solo le generalità e gli altri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identificativi dei soggetti tutelati ma anche gli “</w:t>
      </w:r>
      <w:r w:rsidRPr="00F4397F">
        <w:rPr>
          <w:rFonts w:asciiTheme="minorHAnsi" w:hAnsiTheme="minorHAnsi" w:cs="Segoe UI"/>
          <w:i/>
          <w:iCs/>
          <w:color w:val="000000"/>
        </w:rPr>
        <w:t>altri dati anche relativi a terzi dai quali può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desumersi anche indirettamente l’identità di tali soggetti”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29</w:t>
      </w:r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Ulteriori misure per la protezione della privacy a fronte della pubblicazione di dati, atti e documenti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amministrativi contenenti dati personali sono individuati nella Deliberazione 088/2011 del Garante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Privacy “Linee guida in materia di trattamento di dati personali contenuti anche in atti e documenti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amministrativi, effettuato da soggetti pubblici per finalità di pubblicazione e diffusione sul web”.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Gli accorgimenti contenuti nelle Linee guida sono volti ad assicurare forme corrette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proporzionate di conoscibilità delle informazioni pubblicate impedendo la loro indiscriminata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incondizionata reperibilità in Internet, garantendo il rispetto dei principi di qualità ed esattezza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dati e delimitando la durata della loro disponibilità on </w:t>
      </w:r>
      <w:proofErr w:type="spellStart"/>
      <w:r w:rsidRPr="00F4397F">
        <w:rPr>
          <w:rFonts w:asciiTheme="minorHAnsi" w:hAnsiTheme="minorHAnsi" w:cs="Segoe UI"/>
          <w:color w:val="000000"/>
        </w:rPr>
        <w:t>line</w:t>
      </w:r>
      <w:proofErr w:type="spellEnd"/>
      <w:r w:rsidRPr="00F4397F">
        <w:rPr>
          <w:rFonts w:asciiTheme="minorHAnsi" w:hAnsiTheme="minorHAnsi" w:cs="Segoe UI"/>
          <w:color w:val="000000"/>
        </w:rPr>
        <w:t>. Le misure selezionate riguardano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30</w:t>
      </w:r>
      <w:r w:rsidRPr="00F4397F">
        <w:rPr>
          <w:rFonts w:asciiTheme="minorHAnsi" w:hAnsiTheme="minorHAnsi" w:cs="Segoe UI"/>
          <w:color w:val="000000"/>
        </w:rPr>
        <w:t>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lastRenderedPageBreak/>
        <w:t xml:space="preserve"> </w:t>
      </w:r>
      <w:r w:rsidRPr="00F4397F">
        <w:rPr>
          <w:rFonts w:asciiTheme="minorHAnsi" w:hAnsiTheme="minorHAnsi" w:cs="Segoe UI"/>
          <w:b/>
          <w:bCs/>
          <w:color w:val="000000"/>
        </w:rPr>
        <w:t>Motori di ricerca</w:t>
      </w:r>
      <w:r w:rsidRPr="00F4397F">
        <w:rPr>
          <w:rFonts w:asciiTheme="minorHAnsi" w:hAnsiTheme="minorHAnsi" w:cs="Segoe UI"/>
          <w:color w:val="000000"/>
        </w:rPr>
        <w:t>: devono essere preferite soluzioni che consentono di reperire i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mediante funzionalità di ricerca interne al sito piuttosto che mediante motori di ricerca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esterni. Tale opzione, in linea generale, assicura accessi maggiormente selettivi e coerenti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 le finalità di volta in volta sottese alla pubblicazione.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b/>
          <w:bCs/>
          <w:color w:val="000000"/>
        </w:rPr>
        <w:t>Tempi proporzionati di mantenimento della diffusione dei dati</w:t>
      </w:r>
      <w:r w:rsidRPr="00F4397F">
        <w:rPr>
          <w:rFonts w:asciiTheme="minorHAnsi" w:hAnsiTheme="minorHAnsi" w:cs="Segoe UI"/>
          <w:color w:val="000000"/>
        </w:rPr>
        <w:t>: le esigenze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trasparenza, pubblicità e </w:t>
      </w:r>
      <w:proofErr w:type="spellStart"/>
      <w:r w:rsidRPr="00F4397F">
        <w:rPr>
          <w:rFonts w:asciiTheme="minorHAnsi" w:hAnsiTheme="minorHAnsi" w:cs="Segoe UI"/>
          <w:color w:val="000000"/>
        </w:rPr>
        <w:t>consultabilità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degli atti, proprio in relazione alla circostanza che 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 personali in essi contenuti sono diffusi sul web, devono comunque tenere anche conto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della necessità di individuare un congruo periodo di tempo entro il quale devono rimanere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disponibili (in una forma che consenta l'identificazione dell'interessato) che non può essere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superiore al periodo ritenuto, caso per caso, necessario al raggiungimento degli scopi per 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quali i dati stessi sono resi pubblici. I soggetti pubblici sono tenuti ad assicurare il rispetto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dei limiti temporali previsti, rendendoli accessibili sul proprio sito web durante il circoscritto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ambito temporale individuato dalle disposizioni normative di riferimento, anche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garantire il diritto all'oblio degli interessati. A titolo esemplificativo, le Linee guida fanno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riferimento a </w:t>
      </w:r>
      <w:r w:rsidRPr="00F4397F">
        <w:rPr>
          <w:rFonts w:asciiTheme="minorHAnsi" w:hAnsiTheme="minorHAnsi" w:cs="Segoe UI"/>
          <w:i/>
          <w:iCs/>
          <w:color w:val="000000"/>
        </w:rPr>
        <w:t xml:space="preserve">sistemi di web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publishing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 CMS (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Content</w:t>
      </w:r>
      <w:proofErr w:type="spellEnd"/>
      <w:r w:rsidRPr="00F4397F">
        <w:rPr>
          <w:rFonts w:asciiTheme="minorHAnsi" w:hAnsiTheme="minorHAnsi" w:cs="Segoe UI"/>
          <w:i/>
          <w:iCs/>
          <w:color w:val="000000"/>
        </w:rPr>
        <w:t xml:space="preserve"> management system</w:t>
      </w:r>
      <w:r w:rsidRPr="00F4397F">
        <w:rPr>
          <w:rFonts w:asciiTheme="minorHAnsi" w:hAnsiTheme="minorHAnsi" w:cs="Segoe UI"/>
          <w:color w:val="000000"/>
        </w:rPr>
        <w:t>) in grado di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00"/>
          <w:sz w:val="20"/>
          <w:szCs w:val="20"/>
          <w:lang w:val="en-GB"/>
        </w:rPr>
      </w:pPr>
      <w:r w:rsidRPr="00522951">
        <w:rPr>
          <w:rFonts w:asciiTheme="minorHAnsi" w:hAnsiTheme="minorHAnsi" w:cs="Calibri"/>
          <w:color w:val="000000"/>
          <w:sz w:val="13"/>
          <w:szCs w:val="13"/>
          <w:lang w:val="en-GB"/>
        </w:rPr>
        <w:t xml:space="preserve">28 </w:t>
      </w:r>
      <w:r w:rsidRPr="00522951">
        <w:rPr>
          <w:rFonts w:asciiTheme="minorHAnsi" w:hAnsiTheme="minorHAnsi" w:cs="Calibri"/>
          <w:color w:val="000000"/>
          <w:sz w:val="20"/>
          <w:szCs w:val="20"/>
          <w:lang w:val="en-GB"/>
        </w:rPr>
        <w:t>Art. 52, co. 5 del d.lgs. 196/2003</w:t>
      </w:r>
      <w:r w:rsidR="00802942" w:rsidRPr="00522951">
        <w:rPr>
          <w:rFonts w:asciiTheme="minorHAnsi" w:hAnsiTheme="minorHAnsi" w:cs="Calibri"/>
          <w:color w:val="000000"/>
          <w:sz w:val="20"/>
          <w:szCs w:val="20"/>
          <w:lang w:val="en-GB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522951">
        <w:rPr>
          <w:rFonts w:asciiTheme="minorHAnsi" w:hAnsiTheme="minorHAnsi" w:cs="Calibri"/>
          <w:color w:val="000000"/>
          <w:sz w:val="13"/>
          <w:szCs w:val="13"/>
          <w:lang w:val="en-GB"/>
        </w:rPr>
        <w:t xml:space="preserve">29 </w:t>
      </w:r>
      <w:proofErr w:type="spellStart"/>
      <w:r w:rsidRPr="00522951">
        <w:rPr>
          <w:rFonts w:asciiTheme="minorHAnsi" w:hAnsiTheme="minorHAnsi" w:cs="Calibri"/>
          <w:color w:val="000000"/>
          <w:sz w:val="20"/>
          <w:szCs w:val="20"/>
          <w:lang w:val="en-GB"/>
        </w:rPr>
        <w:t>Cfr</w:t>
      </w:r>
      <w:proofErr w:type="spellEnd"/>
      <w:r w:rsidRPr="00522951">
        <w:rPr>
          <w:rFonts w:asciiTheme="minorHAnsi" w:hAnsiTheme="minorHAnsi" w:cs="Calibri"/>
          <w:color w:val="000000"/>
          <w:sz w:val="20"/>
          <w:szCs w:val="20"/>
          <w:lang w:val="en-GB"/>
        </w:rPr>
        <w:t xml:space="preserve">.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“Linee guida in materia di trattamento di dati personali nella riproduzione di provvedimenti giurisdizionali per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finalità di informazione giuridica”. Garante per la protezione dei dati personali (2 dicembre 2010).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30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Cfr.5.1, 5.2, 5.3 e 5.4 “Linee guida in materia di trattamento di dati personali contenuti anche in atti e documenti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20"/>
          <w:szCs w:val="20"/>
        </w:rPr>
        <w:t>amministrativi effettuato da soggetti pubblici per finalità di pubblicazione e diffusione sul web”.</w:t>
      </w:r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attribuire, anche mediante l'utilizzo di parole-chiave (metadati), un intervallo temporale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permanenza della documentazione all'interno del sito istituzionale, consentendone una sua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agevole rimozione, anche in forma automatica.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b/>
          <w:bCs/>
          <w:color w:val="000000"/>
        </w:rPr>
        <w:t>Duplicazione massiva dei file contenenti dati personali</w:t>
      </w:r>
      <w:r w:rsidRPr="00F4397F">
        <w:rPr>
          <w:rFonts w:asciiTheme="minorHAnsi" w:hAnsiTheme="minorHAnsi" w:cs="Segoe UI"/>
          <w:color w:val="000000"/>
        </w:rPr>
        <w:t>: devono essere adottate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opportune cautele per ostacolare operazioni di duplicazione massiva dei file contenenti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personali da parte degli utenti della rete, mediante l'utilizzo di software o programmi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automatici, al fine di ridurre il rischio di riproduzione e riutilizzo dei contenuti informativi in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ambiti e contesti differenti. A tale scopo, le Linee guida fanno riferimento ad accorgimenti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consistenti, ad esempio, nell'uso di firewall di rete in grado di riconoscere accessi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risultino anomali per numero rapportato all'intervallo di tempo di riferimento oppure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opportuni filtri applicativi che, a fronte delle citate anomalie, siano in grado di rallentare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l'attività dell'utente e di mettere in atto adeguate contromisure.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b/>
          <w:bCs/>
          <w:color w:val="000000"/>
        </w:rPr>
        <w:t>Dati esatti e aggiornati</w:t>
      </w:r>
      <w:r w:rsidRPr="00F4397F">
        <w:rPr>
          <w:rFonts w:asciiTheme="minorHAnsi" w:hAnsiTheme="minorHAnsi" w:cs="Segoe UI"/>
          <w:color w:val="000000"/>
        </w:rPr>
        <w:t>: devono essere adottate idonee misure per eliminare o ridurre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rischio di cancellazioni, modifiche, alterazioni o </w:t>
      </w:r>
      <w:proofErr w:type="spellStart"/>
      <w:r w:rsidRPr="00F4397F">
        <w:rPr>
          <w:rFonts w:asciiTheme="minorHAnsi" w:hAnsiTheme="minorHAnsi" w:cs="Segoe UI"/>
          <w:color w:val="000000"/>
        </w:rPr>
        <w:t>decontestualizzazioni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delle informazioni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dei documenti resi disponibili tramite Internet. A tale scopo, le Linee guida fanno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riferimento ad accorgimenti consistenti, ad esempio: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Courier New"/>
          <w:color w:val="000000"/>
        </w:rPr>
        <w:t xml:space="preserve">o </w:t>
      </w:r>
      <w:r w:rsidRPr="00F4397F">
        <w:rPr>
          <w:rFonts w:asciiTheme="minorHAnsi" w:hAnsiTheme="minorHAnsi" w:cs="Segoe UI"/>
          <w:color w:val="000000"/>
        </w:rPr>
        <w:t>nell'inserimento nei file oggetto di pubblicazione dei "dati di contesto" (es. data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aggiornamento, periodo di validità, segnatura di protocollo o dell'albo);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Courier New"/>
          <w:color w:val="000000"/>
        </w:rPr>
        <w:t xml:space="preserve">o </w:t>
      </w:r>
      <w:r w:rsidRPr="00F4397F">
        <w:rPr>
          <w:rFonts w:asciiTheme="minorHAnsi" w:hAnsiTheme="minorHAnsi" w:cs="Segoe UI"/>
          <w:color w:val="000000"/>
        </w:rPr>
        <w:t>nell'indicazione, tra i dati di contesto delle fonti attendibili per il reperimento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medesimi documenti;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Courier New"/>
          <w:color w:val="000000"/>
        </w:rPr>
        <w:t xml:space="preserve">o </w:t>
      </w:r>
      <w:r w:rsidRPr="00F4397F">
        <w:rPr>
          <w:rFonts w:asciiTheme="minorHAnsi" w:hAnsiTheme="minorHAnsi" w:cs="Segoe UI"/>
          <w:color w:val="000000"/>
        </w:rPr>
        <w:t xml:space="preserve">nella sottoscrizione di </w:t>
      </w:r>
      <w:r w:rsidRPr="00F4397F">
        <w:rPr>
          <w:rFonts w:asciiTheme="minorHAnsi" w:hAnsiTheme="minorHAnsi" w:cs="Segoe UI"/>
          <w:color w:val="000000"/>
        </w:rPr>
        <w:lastRenderedPageBreak/>
        <w:t>documenti pubblicati sul sito web con firma digitale o altro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accorgimento equivalente, in modo da garantirne l'autenticità e l'integrità.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522951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2.13 Conversione in formato aperto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Open Data, con il supporto dello Staff tecnico/operativo e attraverso consultazioni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con il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deve identificare quali saranno i formati aperti sui quali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verrà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convertito. Esistono diversi tipi di formati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31 </w:t>
      </w:r>
      <w:r w:rsidRPr="00F4397F">
        <w:rPr>
          <w:rFonts w:asciiTheme="minorHAnsi" w:hAnsiTheme="minorHAnsi" w:cs="Segoe UI"/>
          <w:color w:val="000000"/>
        </w:rPr>
        <w:t>e la scelta del formato (o dei formati) da applicare al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deve dare priorità alla portabilità dei dati basata su standard aperti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32</w:t>
      </w:r>
      <w:r w:rsidRPr="00F4397F">
        <w:rPr>
          <w:rFonts w:asciiTheme="minorHAnsi" w:hAnsiTheme="minorHAnsi" w:cs="Segoe UI"/>
          <w:color w:val="000000"/>
        </w:rPr>
        <w:t>. Alcuni dei formati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aperti standard di rappresentazione più comuni sono JSON, XML, CSV e RDF (KML e GML per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geografici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33</w:t>
      </w:r>
      <w:r w:rsidRPr="00F4397F">
        <w:rPr>
          <w:rFonts w:asciiTheme="minorHAnsi" w:hAnsiTheme="minorHAnsi" w:cs="Segoe UI"/>
          <w:color w:val="000000"/>
        </w:rPr>
        <w:t>). L’obiettivo deve essere quello di utilizzare schemi standard che permettano agli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sviluppatori un più veloce accesso alle informazione e la maggiore facilità di manipolazione,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proprio perché tali formati sono leggibili da computer e interpretabili da librerie software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sviluppo molto diffuse sul web.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Per i dati soggetti a frequenti modifiche, è utile pensare di esporre i dati attraverso web </w:t>
      </w:r>
      <w:proofErr w:type="spellStart"/>
      <w:r w:rsidRPr="00F4397F">
        <w:rPr>
          <w:rFonts w:asciiTheme="minorHAnsi" w:hAnsiTheme="minorHAnsi" w:cs="Segoe UI"/>
          <w:color w:val="000000"/>
        </w:rPr>
        <w:t>services</w:t>
      </w:r>
      <w:proofErr w:type="spellEnd"/>
      <w:r w:rsidRPr="00F4397F">
        <w:rPr>
          <w:rFonts w:asciiTheme="minorHAnsi" w:hAnsiTheme="minorHAnsi" w:cs="Segoe UI"/>
          <w:color w:val="000000"/>
        </w:rPr>
        <w:t>. Ci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sono diversi modi per creare un web service, ma alcuni dei più utilizzati sono SOAP e REST. I servizi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</w:rPr>
      </w:pPr>
      <w:r w:rsidRPr="00F4397F">
        <w:rPr>
          <w:rFonts w:asciiTheme="minorHAnsi" w:hAnsiTheme="minorHAnsi" w:cs="Calibri"/>
          <w:color w:val="000000"/>
          <w:sz w:val="14"/>
          <w:szCs w:val="14"/>
        </w:rPr>
        <w:t>31</w:t>
      </w:r>
      <w:r w:rsidRPr="00F4397F">
        <w:rPr>
          <w:rFonts w:asciiTheme="minorHAnsi" w:hAnsiTheme="minorHAnsi" w:cs="Calibri"/>
          <w:color w:val="0000FF"/>
        </w:rPr>
        <w:t>http://opendatahandbook.org/it/appendices/file-formats.html</w:t>
      </w:r>
      <w:r w:rsidR="00802942">
        <w:rPr>
          <w:rFonts w:asciiTheme="minorHAnsi" w:hAnsiTheme="minorHAnsi" w:cs="Calibri"/>
          <w:color w:val="0000FF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</w:rPr>
      </w:pPr>
      <w:r w:rsidRPr="00F4397F">
        <w:rPr>
          <w:rFonts w:asciiTheme="minorHAnsi" w:hAnsiTheme="minorHAnsi" w:cs="Calibri"/>
          <w:color w:val="000000"/>
          <w:sz w:val="14"/>
          <w:szCs w:val="14"/>
        </w:rPr>
        <w:t>32</w:t>
      </w:r>
      <w:r w:rsidRPr="00F4397F">
        <w:rPr>
          <w:rFonts w:asciiTheme="minorHAnsi" w:hAnsiTheme="minorHAnsi" w:cs="Calibri"/>
          <w:color w:val="0000FF"/>
        </w:rPr>
        <w:t>http://it.wikipedia.org/wiki/Standard_aperto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Calibri"/>
          <w:color w:val="000000"/>
          <w:sz w:val="14"/>
          <w:szCs w:val="14"/>
        </w:rPr>
        <w:t>33</w:t>
      </w:r>
      <w:r w:rsidRPr="00F4397F">
        <w:rPr>
          <w:rFonts w:asciiTheme="minorHAnsi" w:hAnsiTheme="minorHAnsi" w:cs="Calibri"/>
          <w:color w:val="0000FF"/>
        </w:rPr>
        <w:t>http://en.wikipedia.org/wiki/Geography_Markup_Language#GML_and_KML</w:t>
      </w:r>
      <w:r w:rsidR="00802942">
        <w:rPr>
          <w:rFonts w:asciiTheme="minorHAnsi" w:hAnsiTheme="minorHAnsi" w:cs="Calibri"/>
          <w:color w:val="0000FF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web creati per accedere più facilmente ai dati faranno parte dell’API (</w:t>
      </w:r>
      <w:proofErr w:type="spellStart"/>
      <w:r w:rsidRPr="00F4397F">
        <w:rPr>
          <w:rFonts w:asciiTheme="minorHAnsi" w:hAnsiTheme="minorHAnsi" w:cs="Segoe UI"/>
          <w:color w:val="000000"/>
        </w:rPr>
        <w:t>application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programming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interface) che sarà </w:t>
      </w:r>
      <w:proofErr w:type="spellStart"/>
      <w:r w:rsidRPr="00F4397F">
        <w:rPr>
          <w:rFonts w:asciiTheme="minorHAnsi" w:hAnsiTheme="minorHAnsi" w:cs="Segoe UI"/>
          <w:color w:val="000000"/>
        </w:rPr>
        <w:t>disponibilizzata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dall’Ente ed usata dagli sviluppatori per accedere ai dati e creare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applicazioni basate su di essi, utilizzando paradigmi e protocolli come REST, HTTP e SQL. È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importante, quindi, che il Responsabile Open Data lavori assieme allo Staff tecnico/operativo (o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consulenti specializzati) in modo tale da garantire la creazione di un’architettura robusta ma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estensibile che permetta alla comunità di sviluppatori di lavorare in modo più efficace.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2.14 Definizione dei metadati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Open Data, con il supporto dello Staff tecnico/operativo e attraverso consultazioni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con il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deve identificare quali saranno i metadati definitivi che saranno pubblicati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con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 metadati sono informazioni che documentano i dati, anche nella loro semantica, contesto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operativo e modalità di utilizzo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. Tali informazioni, unitamente ad una guida all’uso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formato (o dei formati) sul quale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è stato rilasciato, orientata alla lettura da parte degli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utenti, devono essere presenti in uno o più documenti rilasciati dall’Ente.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Nel processo di definizione dei metadati, è necessario dare importanza all’interoperabilità del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Catalogue</w:t>
      </w:r>
      <w:proofErr w:type="spellEnd"/>
      <w:r w:rsidRPr="00F4397F">
        <w:rPr>
          <w:rFonts w:asciiTheme="minorHAnsi" w:hAnsiTheme="minorHAnsi" w:cs="Segoe UI"/>
          <w:color w:val="000000"/>
        </w:rPr>
        <w:t>, attraverso la scelta di schemi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34 </w:t>
      </w:r>
      <w:r w:rsidRPr="00F4397F">
        <w:rPr>
          <w:rFonts w:asciiTheme="minorHAnsi" w:hAnsiTheme="minorHAnsi" w:cs="Segoe UI"/>
          <w:color w:val="000000"/>
        </w:rPr>
        <w:t>che stabiliscano un vocabolario comune per 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metadati, con l’obiettivo di facilitare la comunicazione, intesa anche come comunicazione tra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computer e applicazioni diversi. È necessario, quindi, scegliere uno o più vocabolari, o ontologie</w:t>
      </w:r>
      <w:r w:rsidRPr="00F4397F">
        <w:rPr>
          <w:rFonts w:asciiTheme="minorHAnsi" w:hAnsiTheme="minorHAnsi" w:cs="Arial"/>
          <w:color w:val="000000"/>
          <w:sz w:val="14"/>
          <w:szCs w:val="14"/>
        </w:rPr>
        <w:t>35</w:t>
      </w:r>
      <w:r w:rsidR="00802942">
        <w:rPr>
          <w:rFonts w:asciiTheme="minorHAnsi" w:hAnsiTheme="minorHAnsi" w:cs="Arial"/>
          <w:color w:val="000000"/>
          <w:sz w:val="14"/>
          <w:szCs w:val="14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(meccanismi di specificazione di </w:t>
      </w:r>
      <w:r w:rsidRPr="00F4397F">
        <w:rPr>
          <w:rFonts w:asciiTheme="minorHAnsi" w:hAnsiTheme="minorHAnsi" w:cs="Segoe UI"/>
          <w:color w:val="000000"/>
        </w:rPr>
        <w:lastRenderedPageBreak/>
        <w:t>diverse concettualizzazioni di oggetti, concetti e altre entità, 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relazioni che collegano tali entità). Il Responsabile Open Data e lo Staff tecnico/operativo devono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dare preferenza alla scelta di ontologie già esistenti e ampiamente utilizzate per altri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domini simili, in modo da rendere intelligibili e interpretabili i dati RDF di diversi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relazionali.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Di seguito alcune ontologie RDF </w:t>
      </w:r>
      <w:proofErr w:type="spellStart"/>
      <w:r w:rsidRPr="00F4397F">
        <w:rPr>
          <w:rFonts w:asciiTheme="minorHAnsi" w:hAnsiTheme="minorHAnsi" w:cs="Segoe UI"/>
          <w:color w:val="000000"/>
        </w:rPr>
        <w:t>communemente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utilizzate per la descrizione dei dati: Data </w:t>
      </w:r>
      <w:proofErr w:type="spellStart"/>
      <w:r w:rsidRPr="00F4397F">
        <w:rPr>
          <w:rFonts w:asciiTheme="minorHAnsi" w:hAnsiTheme="minorHAnsi" w:cs="Segoe UI"/>
          <w:color w:val="000000"/>
        </w:rPr>
        <w:t>Catalog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802942">
        <w:rPr>
          <w:rFonts w:asciiTheme="minorHAnsi" w:hAnsiTheme="minorHAnsi" w:cs="Segoe UI"/>
          <w:color w:val="000000"/>
        </w:rPr>
        <w:t>Vocabulary</w:t>
      </w:r>
      <w:proofErr w:type="spellEnd"/>
      <w:r w:rsidRPr="00802942">
        <w:rPr>
          <w:rFonts w:asciiTheme="minorHAnsi" w:hAnsiTheme="minorHAnsi" w:cs="Segoe UI"/>
          <w:color w:val="000000"/>
        </w:rPr>
        <w:t xml:space="preserve"> (DCAT)</w:t>
      </w:r>
      <w:r w:rsidRPr="00802942">
        <w:rPr>
          <w:rFonts w:asciiTheme="minorHAnsi" w:hAnsiTheme="minorHAnsi" w:cs="Segoe UI"/>
          <w:color w:val="000000"/>
          <w:sz w:val="14"/>
          <w:szCs w:val="14"/>
        </w:rPr>
        <w:t>36</w:t>
      </w:r>
      <w:r w:rsidRPr="00802942">
        <w:rPr>
          <w:rFonts w:asciiTheme="minorHAnsi" w:hAnsiTheme="minorHAnsi" w:cs="Segoe UI"/>
          <w:color w:val="000000"/>
        </w:rPr>
        <w:t>, VoID</w:t>
      </w:r>
      <w:r w:rsidRPr="00802942">
        <w:rPr>
          <w:rFonts w:asciiTheme="minorHAnsi" w:hAnsiTheme="minorHAnsi" w:cs="Segoe UI"/>
          <w:color w:val="000000"/>
          <w:sz w:val="14"/>
          <w:szCs w:val="14"/>
        </w:rPr>
        <w:t>37</w:t>
      </w:r>
      <w:r w:rsidRPr="00802942">
        <w:rPr>
          <w:rFonts w:asciiTheme="minorHAnsi" w:hAnsiTheme="minorHAnsi" w:cs="Segoe UI"/>
          <w:color w:val="000000"/>
        </w:rPr>
        <w:t>,</w:t>
      </w:r>
      <w:proofErr w:type="spellStart"/>
      <w:r w:rsidRPr="00802942">
        <w:rPr>
          <w:rFonts w:asciiTheme="minorHAnsi" w:hAnsiTheme="minorHAnsi" w:cs="Segoe UI"/>
          <w:color w:val="000000"/>
        </w:rPr>
        <w:t>Dublin</w:t>
      </w:r>
      <w:proofErr w:type="spellEnd"/>
      <w:r w:rsidRPr="00802942">
        <w:rPr>
          <w:rFonts w:asciiTheme="minorHAnsi" w:hAnsiTheme="minorHAnsi" w:cs="Segoe UI"/>
          <w:color w:val="000000"/>
        </w:rPr>
        <w:t xml:space="preserve"> Core (DC) </w:t>
      </w:r>
      <w:proofErr w:type="spellStart"/>
      <w:r w:rsidRPr="00802942">
        <w:rPr>
          <w:rFonts w:asciiTheme="minorHAnsi" w:hAnsiTheme="minorHAnsi" w:cs="Segoe UI"/>
          <w:color w:val="000000"/>
        </w:rPr>
        <w:t>Metadata</w:t>
      </w:r>
      <w:proofErr w:type="spellEnd"/>
      <w:r w:rsidRP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802942">
        <w:rPr>
          <w:rFonts w:asciiTheme="minorHAnsi" w:hAnsiTheme="minorHAnsi" w:cs="Segoe UI"/>
          <w:color w:val="000000"/>
        </w:rPr>
        <w:t>Element</w:t>
      </w:r>
      <w:proofErr w:type="spellEnd"/>
      <w:r w:rsidRPr="00802942">
        <w:rPr>
          <w:rFonts w:asciiTheme="minorHAnsi" w:hAnsiTheme="minorHAnsi" w:cs="Segoe UI"/>
          <w:color w:val="000000"/>
        </w:rPr>
        <w:t xml:space="preserve"> Set</w:t>
      </w:r>
      <w:r w:rsidRPr="00802942">
        <w:rPr>
          <w:rFonts w:asciiTheme="minorHAnsi" w:hAnsiTheme="minorHAnsi" w:cs="Segoe UI"/>
          <w:color w:val="000000"/>
          <w:sz w:val="14"/>
          <w:szCs w:val="14"/>
        </w:rPr>
        <w:t xml:space="preserve">38 </w:t>
      </w:r>
      <w:r w:rsidRPr="00802942">
        <w:rPr>
          <w:rFonts w:asciiTheme="minorHAnsi" w:hAnsiTheme="minorHAnsi" w:cs="Segoe UI"/>
          <w:color w:val="000000"/>
        </w:rPr>
        <w:t xml:space="preserve">e </w:t>
      </w:r>
      <w:proofErr w:type="spellStart"/>
      <w:r w:rsidRPr="00802942">
        <w:rPr>
          <w:rFonts w:asciiTheme="minorHAnsi" w:hAnsiTheme="minorHAnsi" w:cs="Segoe UI"/>
          <w:color w:val="000000"/>
        </w:rPr>
        <w:t>Metadata</w:t>
      </w:r>
      <w:proofErr w:type="spellEnd"/>
      <w:r w:rsidRP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802942">
        <w:rPr>
          <w:rFonts w:asciiTheme="minorHAnsi" w:hAnsiTheme="minorHAnsi" w:cs="Segoe UI"/>
          <w:color w:val="000000"/>
        </w:rPr>
        <w:t>Terms</w:t>
      </w:r>
      <w:proofErr w:type="spellEnd"/>
      <w:r w:rsidR="00802942" w:rsidRPr="00802942">
        <w:rPr>
          <w:rFonts w:asciiTheme="minorHAnsi" w:hAnsiTheme="minorHAnsi" w:cs="Segoe UI"/>
          <w:color w:val="000000"/>
        </w:rPr>
        <w:t xml:space="preserve"> </w:t>
      </w:r>
      <w:r w:rsidRPr="00802942">
        <w:rPr>
          <w:rFonts w:asciiTheme="minorHAnsi" w:hAnsiTheme="minorHAnsi" w:cs="Segoe UI"/>
          <w:color w:val="000000"/>
        </w:rPr>
        <w:t>Set</w:t>
      </w:r>
      <w:r w:rsidRPr="00802942">
        <w:rPr>
          <w:rFonts w:asciiTheme="minorHAnsi" w:hAnsiTheme="minorHAnsi" w:cs="Segoe UI"/>
          <w:color w:val="000000"/>
          <w:sz w:val="14"/>
          <w:szCs w:val="14"/>
        </w:rPr>
        <w:t>39</w:t>
      </w:r>
      <w:r w:rsidRPr="00802942">
        <w:rPr>
          <w:rFonts w:asciiTheme="minorHAnsi" w:hAnsiTheme="minorHAnsi" w:cs="Segoe UI"/>
          <w:color w:val="000000"/>
        </w:rPr>
        <w:t>,FOAF Vocabulary</w:t>
      </w:r>
      <w:r w:rsidRPr="00802942">
        <w:rPr>
          <w:rFonts w:asciiTheme="minorHAnsi" w:hAnsiTheme="minorHAnsi" w:cs="Segoe UI"/>
          <w:color w:val="000000"/>
          <w:sz w:val="14"/>
          <w:szCs w:val="14"/>
        </w:rPr>
        <w:t>40</w:t>
      </w:r>
      <w:r w:rsidR="00802942" w:rsidRPr="00802942">
        <w:rPr>
          <w:rFonts w:asciiTheme="minorHAnsi" w:hAnsiTheme="minorHAnsi" w:cs="Segoe UI"/>
          <w:color w:val="000000"/>
          <w:sz w:val="14"/>
          <w:szCs w:val="14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Oltre alle informazioni di base (titolo, descrizione, </w:t>
      </w:r>
      <w:proofErr w:type="spellStart"/>
      <w:r w:rsidRPr="00F4397F">
        <w:rPr>
          <w:rFonts w:asciiTheme="minorHAnsi" w:hAnsiTheme="minorHAnsi" w:cs="Segoe UI"/>
          <w:color w:val="000000"/>
        </w:rPr>
        <w:t>tags</w:t>
      </w:r>
      <w:proofErr w:type="spellEnd"/>
      <w:r w:rsidRPr="00F4397F">
        <w:rPr>
          <w:rFonts w:asciiTheme="minorHAnsi" w:hAnsiTheme="minorHAnsi" w:cs="Segoe UI"/>
          <w:color w:val="000000"/>
        </w:rPr>
        <w:t>, proprietario, data dell’ultima modifica,…),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un metadato importante che lo Staff tecnico/operativo deve ricordarsi di generare è il </w:t>
      </w:r>
      <w:proofErr w:type="spellStart"/>
      <w:r w:rsidRPr="00F4397F">
        <w:rPr>
          <w:rFonts w:asciiTheme="minorHAnsi" w:hAnsiTheme="minorHAnsi" w:cs="Segoe UI"/>
          <w:color w:val="000000"/>
        </w:rPr>
        <w:t>hash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ciascun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pubblicato, che permetterà di identificare univocamente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alla sua sorgente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(“Portale Open Data”) e garantirà agli utenti che scaricano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un modo per verificare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l’effettiva integrità del file scaricato, comparando il </w:t>
      </w:r>
      <w:proofErr w:type="spellStart"/>
      <w:r w:rsidRPr="00F4397F">
        <w:rPr>
          <w:rFonts w:asciiTheme="minorHAnsi" w:hAnsiTheme="minorHAnsi" w:cs="Segoe UI"/>
          <w:color w:val="000000"/>
        </w:rPr>
        <w:t>hash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del file locale con quello pubblicato.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522951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>
        <w:rPr>
          <w:rFonts w:asciiTheme="minorHAnsi" w:hAnsiTheme="minorHAnsi" w:cs="Calibri"/>
          <w:color w:val="000000"/>
          <w:sz w:val="13"/>
          <w:szCs w:val="13"/>
        </w:rPr>
        <w:t>34</w:t>
      </w:r>
      <w:r w:rsidR="00F4397F" w:rsidRPr="00F4397F">
        <w:rPr>
          <w:rFonts w:asciiTheme="minorHAnsi" w:hAnsiTheme="minorHAnsi" w:cs="Calibri"/>
          <w:color w:val="0000FF"/>
          <w:sz w:val="20"/>
          <w:szCs w:val="20"/>
        </w:rPr>
        <w:t>http://project-open-data.github.io/schema/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35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http://it.wikipedia.org/wiki/Ontologia_(informatica)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36 </w:t>
      </w:r>
      <w:hyperlink r:id="rId14" w:history="1">
        <w:r w:rsidR="00522951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http://www.w3.org/TR/vocab-dcat/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37 </w:t>
      </w:r>
      <w:hyperlink r:id="rId15" w:history="1">
        <w:r w:rsidR="00522951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http://www.w3.org/TR/void/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38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http://dublincore.org/documents/dces/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39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http://dublincore.org/documents/dcmi-terms/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522951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Calibri"/>
          <w:color w:val="000000"/>
          <w:sz w:val="13"/>
          <w:szCs w:val="13"/>
        </w:rPr>
        <w:t>40</w:t>
      </w:r>
      <w:r w:rsidR="00F4397F" w:rsidRPr="00F4397F">
        <w:rPr>
          <w:rFonts w:asciiTheme="minorHAnsi" w:hAnsiTheme="minorHAnsi" w:cs="Calibri"/>
          <w:color w:val="0000FF"/>
          <w:sz w:val="20"/>
          <w:szCs w:val="20"/>
        </w:rPr>
        <w:t>http://xmlns.com/foaf/spec/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Infine, poiché 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possono essere soggetti a cambiamenti nel tempo (correzioni,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aggiornamenti, elaborazioni,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>), è bene che lo Staff tecnico/operativo garantisca l’allineamento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 la validità tra i metadati e i dati modificati. Alcuni riferimenti temporali da applicare ai metadati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stessi possono includere la data creazione dei metadati, la data dell’ultimo aggiornamento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metadati, la lingua in cui i metadati sono scritti (</w:t>
      </w:r>
      <w:proofErr w:type="spellStart"/>
      <w:r w:rsidRPr="00F4397F">
        <w:rPr>
          <w:rFonts w:asciiTheme="minorHAnsi" w:hAnsiTheme="minorHAnsi" w:cs="Segoe UI"/>
          <w:color w:val="000000"/>
        </w:rPr>
        <w:t>ita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</w:t>
      </w:r>
      <w:proofErr w:type="spellStart"/>
      <w:r w:rsidRPr="00F4397F">
        <w:rPr>
          <w:rFonts w:asciiTheme="minorHAnsi" w:hAnsiTheme="minorHAnsi" w:cs="Segoe UI"/>
          <w:color w:val="000000"/>
        </w:rPr>
        <w:t>eng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por, </w:t>
      </w:r>
      <w:proofErr w:type="spellStart"/>
      <w:r w:rsidRPr="00F4397F">
        <w:rPr>
          <w:rFonts w:asciiTheme="minorHAnsi" w:hAnsiTheme="minorHAnsi" w:cs="Segoe UI"/>
          <w:color w:val="000000"/>
        </w:rPr>
        <w:t>spa…</w:t>
      </w:r>
      <w:proofErr w:type="spellEnd"/>
      <w:r w:rsidRPr="00F4397F">
        <w:rPr>
          <w:rFonts w:asciiTheme="minorHAnsi" w:hAnsiTheme="minorHAnsi" w:cs="Segoe UI"/>
          <w:color w:val="000000"/>
        </w:rPr>
        <w:t>), ecc.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2.15 Applicazione della licenza d’uso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Una volta accertata l’assenza di vincoli di proprietà intellettuale che impediscano l'apertura dei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(processo 2.1 Analisi di riservatezza e titolarità), è necessario che il Responsabile Open Data si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occupi di identificare una licenza che ne definisca le condizioni e le modalità di riutilizzo da parte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chiunque, anche per scopi commerciali, conformemente all’articolo 8 del </w:t>
      </w:r>
      <w:proofErr w:type="spellStart"/>
      <w:r w:rsidRPr="00F4397F">
        <w:rPr>
          <w:rFonts w:asciiTheme="minorHAnsi" w:hAnsiTheme="minorHAnsi" w:cs="Segoe UI"/>
          <w:color w:val="000000"/>
        </w:rPr>
        <w:t>D.Lgs.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36/2006: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i/>
          <w:iCs/>
          <w:color w:val="000000"/>
        </w:rPr>
      </w:pPr>
      <w:r w:rsidRPr="00F4397F">
        <w:rPr>
          <w:rFonts w:asciiTheme="minorHAnsi" w:hAnsiTheme="minorHAnsi" w:cs="Segoe UI"/>
          <w:color w:val="000000"/>
        </w:rPr>
        <w:t>“</w:t>
      </w:r>
      <w:r w:rsidRPr="00F4397F">
        <w:rPr>
          <w:rFonts w:asciiTheme="minorHAnsi" w:hAnsiTheme="minorHAnsi" w:cs="Segoe UI"/>
          <w:i/>
          <w:iCs/>
          <w:color w:val="000000"/>
        </w:rPr>
        <w:t>1. Gli schemi di licenze standard per il riutilizzo sono predisposti dal titolare del dato, ove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possibile in formato elettronico e resi disponibili sul proprio sito istituzionale. Gli schemi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possono essere compilati elettronicamente e contengono eventuali limitazioni o condizioni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all'utilizzo dei documenti, in considerazione delle loro peculiari caratteristiche, nonché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l'indicazione dei mezzi di impugnazione, secondo criteri individuati dal titolare medesimo con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proprio provvedimento.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i/>
          <w:iCs/>
          <w:color w:val="000000"/>
        </w:rPr>
        <w:lastRenderedPageBreak/>
        <w:t>2. Le condizioni e le limitazioni poste dal titolare del dato negli schemi di licenze standard sono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individuate per categorie di documenti secondo criteri di proporzionalità e nel rispetto della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disciplina sulla protezione dei dati personali e non possono costituire ostacolo alla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concorrenza</w:t>
      </w:r>
      <w:r w:rsidRPr="00F4397F">
        <w:rPr>
          <w:rFonts w:asciiTheme="minorHAnsi" w:hAnsiTheme="minorHAnsi" w:cs="Segoe UI"/>
          <w:color w:val="000000"/>
        </w:rPr>
        <w:t>.”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dove per “</w:t>
      </w:r>
      <w:r w:rsidRPr="00F4397F">
        <w:rPr>
          <w:rFonts w:asciiTheme="minorHAnsi" w:hAnsiTheme="minorHAnsi" w:cs="Segoe UI"/>
          <w:i/>
          <w:iCs/>
          <w:color w:val="000000"/>
        </w:rPr>
        <w:t>licenze standard per il riutilizzo</w:t>
      </w:r>
      <w:r w:rsidRPr="00F4397F">
        <w:rPr>
          <w:rFonts w:asciiTheme="minorHAnsi" w:hAnsiTheme="minorHAnsi" w:cs="Segoe UI"/>
          <w:color w:val="000000"/>
        </w:rPr>
        <w:t>” lo stesso documento definisce “</w:t>
      </w:r>
      <w:r w:rsidRPr="00F4397F">
        <w:rPr>
          <w:rFonts w:asciiTheme="minorHAnsi" w:hAnsiTheme="minorHAnsi" w:cs="Segoe UI"/>
          <w:i/>
          <w:iCs/>
          <w:color w:val="000000"/>
        </w:rPr>
        <w:t>il contratto, o altro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strumento negoziale, redatto ove possibile in forma elettronica, nel quale sono definite le modalità di</w:t>
      </w:r>
      <w:r w:rsidR="00802942">
        <w:rPr>
          <w:rFonts w:asciiTheme="minorHAnsi" w:hAnsiTheme="minorHAnsi" w:cs="Segoe UI"/>
          <w:i/>
          <w:iCs/>
          <w:color w:val="00000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</w:rPr>
        <w:t>riutilizzo dei documenti delle pubbliche amministrazioni o degli organismi di diritto pubblico</w:t>
      </w:r>
      <w:r w:rsidRPr="00F4397F">
        <w:rPr>
          <w:rFonts w:asciiTheme="minorHAnsi" w:hAnsiTheme="minorHAnsi" w:cs="Segoe UI"/>
          <w:color w:val="000000"/>
        </w:rPr>
        <w:t xml:space="preserve">”.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Ci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sono molte licenze che si prestano al riuso dei dati aperti ma, prima della scelta del tipo specifico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licenza da applicare, è bene che il Responsabile Open Data tenga in conto che tale scelta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comporterà, in sostanza, la classificazione dei dati all’interno di uno di questi gruppi: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Dati di Pubblico Dominio: sgrava l’Ente da ogni responsabilità su eventuali rielaborazioni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sbagliate realizzate da terzi ed assomiglia i dati a tutte le altre tipologie di dati che i cittadini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communemente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già percepiscono come dati di pubblico dominio (bilanci, dati statistici,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calendari eventi,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>)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Dati con vincolo di attribuzione: riconosce all’Ente lo sforzo impiegato nella creazione (o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“paternità”) dei dati, e richiede a chi lo riutilizza di citare l’Ente nell’opera derivata;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Dati con vincolo di condivisione allo stesso modo: richiede che il risultato del riuso venga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condiviso con la stessa licenza, con impiego comune per tutti quei dati che sono stati</w:t>
      </w:r>
      <w:r w:rsidR="00522951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raccolti in modalità “</w:t>
      </w:r>
      <w:proofErr w:type="spellStart"/>
      <w:r w:rsidRPr="00F4397F">
        <w:rPr>
          <w:rFonts w:asciiTheme="minorHAnsi" w:hAnsiTheme="minorHAnsi" w:cs="Segoe UI"/>
          <w:color w:val="000000"/>
        </w:rPr>
        <w:t>crowdsourced</w:t>
      </w:r>
      <w:proofErr w:type="spellEnd"/>
      <w:r w:rsidRPr="00F4397F">
        <w:rPr>
          <w:rFonts w:asciiTheme="minorHAnsi" w:hAnsiTheme="minorHAnsi" w:cs="Segoe UI"/>
          <w:color w:val="000000"/>
        </w:rPr>
        <w:t>”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41</w:t>
      </w:r>
      <w:r w:rsidRPr="00F4397F">
        <w:rPr>
          <w:rFonts w:asciiTheme="minorHAnsi" w:hAnsiTheme="minorHAnsi" w:cs="Segoe UI"/>
          <w:color w:val="000000"/>
        </w:rPr>
        <w:t>, ovvero con l’aiuto dei cittadini in maniera volontaria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(segnalazioni di problemi, idee per lo sviluppo,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>)</w:t>
      </w:r>
      <w:r w:rsidR="00522951">
        <w:rPr>
          <w:rFonts w:asciiTheme="minorHAnsi" w:hAnsiTheme="minorHAnsi" w:cs="Segoe UI"/>
          <w:color w:val="000000"/>
        </w:rPr>
        <w:t>.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Tra le varie scelte possibili per definire le condizioni e limitazione per il riutilizzo, le più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communemente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utilizzate per il rilascio di dati aperti sono: CC0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42</w:t>
      </w:r>
      <w:r w:rsidRPr="00F4397F">
        <w:rPr>
          <w:rFonts w:asciiTheme="minorHAnsi" w:hAnsiTheme="minorHAnsi" w:cs="Segoe UI"/>
          <w:color w:val="000000"/>
        </w:rPr>
        <w:t>, CC BY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43</w:t>
      </w:r>
      <w:r w:rsidRPr="00F4397F">
        <w:rPr>
          <w:rFonts w:asciiTheme="minorHAnsi" w:hAnsiTheme="minorHAnsi" w:cs="Segoe UI"/>
          <w:color w:val="000000"/>
        </w:rPr>
        <w:t>, IODL 2.0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44</w:t>
      </w:r>
      <w:r w:rsidRPr="00F4397F">
        <w:rPr>
          <w:rFonts w:asciiTheme="minorHAnsi" w:hAnsiTheme="minorHAnsi" w:cs="Segoe UI"/>
          <w:color w:val="000000"/>
        </w:rPr>
        <w:t>, CC BY-SA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45</w:t>
      </w:r>
      <w:r w:rsidR="00802942">
        <w:rPr>
          <w:rFonts w:asciiTheme="minorHAnsi" w:hAnsiTheme="minorHAnsi" w:cs="Segoe UI"/>
          <w:color w:val="000000"/>
          <w:sz w:val="14"/>
          <w:szCs w:val="14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Ci sono ancora altre licenze promosse dall’</w:t>
      </w:r>
      <w:r w:rsidRPr="00F4397F">
        <w:rPr>
          <w:rFonts w:asciiTheme="minorHAnsi" w:hAnsiTheme="minorHAnsi" w:cs="Arial"/>
          <w:color w:val="333333"/>
          <w:sz w:val="21"/>
          <w:szCs w:val="21"/>
        </w:rPr>
        <w:t xml:space="preserve">Open Data </w:t>
      </w:r>
      <w:proofErr w:type="spellStart"/>
      <w:r w:rsidRPr="00F4397F">
        <w:rPr>
          <w:rFonts w:asciiTheme="minorHAnsi" w:hAnsiTheme="minorHAnsi" w:cs="Arial"/>
          <w:color w:val="333333"/>
          <w:sz w:val="21"/>
          <w:szCs w:val="21"/>
        </w:rPr>
        <w:t>Commons</w:t>
      </w:r>
      <w:proofErr w:type="spellEnd"/>
      <w:r w:rsidRPr="00F4397F">
        <w:rPr>
          <w:rFonts w:asciiTheme="minorHAnsi" w:hAnsiTheme="minorHAnsi" w:cs="Arial"/>
          <w:color w:val="333333"/>
          <w:sz w:val="21"/>
          <w:szCs w:val="21"/>
        </w:rPr>
        <w:t xml:space="preserve"> (un progetto dell’</w:t>
      </w:r>
      <w:r w:rsidRPr="00F4397F">
        <w:rPr>
          <w:rFonts w:asciiTheme="minorHAnsi" w:hAnsiTheme="minorHAnsi" w:cs="Segoe UI"/>
          <w:color w:val="000000"/>
        </w:rPr>
        <w:t xml:space="preserve">Open </w:t>
      </w:r>
      <w:proofErr w:type="spellStart"/>
      <w:r w:rsidRPr="00F4397F">
        <w:rPr>
          <w:rFonts w:asciiTheme="minorHAnsi" w:hAnsiTheme="minorHAnsi" w:cs="Segoe UI"/>
          <w:color w:val="000000"/>
        </w:rPr>
        <w:t>Knowledge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Foundation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46</w:t>
      </w:r>
      <w:r w:rsidRPr="00F4397F">
        <w:rPr>
          <w:rFonts w:asciiTheme="minorHAnsi" w:hAnsiTheme="minorHAnsi" w:cs="Arial"/>
          <w:color w:val="000000"/>
          <w:sz w:val="21"/>
          <w:szCs w:val="21"/>
        </w:rPr>
        <w:t xml:space="preserve">) </w:t>
      </w:r>
      <w:r w:rsidRPr="00F4397F">
        <w:rPr>
          <w:rFonts w:asciiTheme="minorHAnsi" w:hAnsiTheme="minorHAnsi" w:cs="Arial"/>
          <w:color w:val="333333"/>
          <w:sz w:val="21"/>
          <w:szCs w:val="21"/>
        </w:rPr>
        <w:t xml:space="preserve">create in modo specifico per l’uso con i dati aperti, meno diffuse in Italia: </w:t>
      </w:r>
      <w:r w:rsidRPr="00F4397F">
        <w:rPr>
          <w:rFonts w:asciiTheme="minorHAnsi" w:hAnsiTheme="minorHAnsi" w:cs="Segoe UI"/>
          <w:color w:val="000000"/>
        </w:rPr>
        <w:t>ODC-BY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47</w:t>
      </w:r>
      <w:r w:rsidRPr="00F4397F">
        <w:rPr>
          <w:rFonts w:asciiTheme="minorHAnsi" w:hAnsiTheme="minorHAnsi" w:cs="Segoe UI"/>
          <w:color w:val="000000"/>
        </w:rPr>
        <w:t>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ODbL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48</w:t>
      </w:r>
      <w:r w:rsidRPr="00F4397F">
        <w:rPr>
          <w:rFonts w:asciiTheme="minorHAnsi" w:hAnsiTheme="minorHAnsi" w:cs="Segoe UI"/>
          <w:color w:val="000000"/>
        </w:rPr>
        <w:t>, ODC-PDDL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49</w:t>
      </w:r>
      <w:r w:rsidRPr="00F4397F">
        <w:rPr>
          <w:rFonts w:asciiTheme="minorHAnsi" w:hAnsiTheme="minorHAnsi" w:cs="Segoe UI"/>
          <w:color w:val="000000"/>
        </w:rPr>
        <w:t xml:space="preserve">.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Fatti salvi i limiti di legge inderogabili, le licenze da adottare vanno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individuate dal responsabile Open Data in modo tale che l’Ente licenziante non si assuma alcuna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responsabilità per qualsiasi costo, onere, spesa o danno di qualsiasi natura che dovessero derivare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dall’esercizio delle facoltà concesse in licenza, compreso l’utilizzo o il mancato utilizzo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documento da parte del licenziatario o da parte di terzi. A ciascun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verrà abbinata la licenza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con cui viene pubblicato (e registrata nel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checklist) e questa, idealmente, dovrà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successivamente essere accessibile in lingua italiana.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Open Data deve prediligere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una licenza leggibile e riconoscibile non solo agli utenti nazionali, ma anche agli utenti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internazionali e che garantisca la massima possibilità di riutilizzo dei dati, a meno di specificità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richiedano l’adozione di licenze meno aperte (ad es.: uso dei dati a pagamento).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2.16 Pubblicazione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Open data, con l’immediato supporto dello Staff tecnico/operativo deve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organizzare l’attività di messa in produzione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nel rispetto di tutte le indicazioni previste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nella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checklist. Può consultare il responsabile dell’Area nel caso in cui si decida di eseguire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tutti gli interventi dei processi esterni come parte di un unico progetto di apertura dei dati (ad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esempio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 preveda </w:t>
      </w:r>
      <w:r w:rsidRPr="00F4397F">
        <w:rPr>
          <w:rFonts w:asciiTheme="minorHAnsi" w:hAnsiTheme="minorHAnsi" w:cs="Segoe UI"/>
          <w:color w:val="000000"/>
        </w:rPr>
        <w:lastRenderedPageBreak/>
        <w:t xml:space="preserve">anche la </w:t>
      </w:r>
      <w:proofErr w:type="spellStart"/>
      <w:r w:rsidRPr="00F4397F">
        <w:rPr>
          <w:rFonts w:asciiTheme="minorHAnsi" w:hAnsiTheme="minorHAnsi" w:cs="Segoe UI"/>
          <w:color w:val="000000"/>
        </w:rPr>
        <w:t>dematerializzazione</w:t>
      </w:r>
      <w:proofErr w:type="spellEnd"/>
      <w:r w:rsidRPr="00F4397F">
        <w:rPr>
          <w:rFonts w:asciiTheme="minorHAnsi" w:hAnsiTheme="minorHAnsi" w:cs="Segoe UI"/>
          <w:color w:val="000000"/>
        </w:rPr>
        <w:t>, la conversione del formato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modifiche nella struttura). In alternativa, il lavoro può essere eseguito direttamente dallo Staff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tecnico/operativo se tutte le competenze informatiche siano presenti.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Lo Staff tecnico/operativo deve assicurarsi che i metadati (nel modo più completo possibile) siano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presentati in maniera chiara all’interno di una pagina per il download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con chiara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visibilità dei formati disponibili ed eventuali modalità di accesso alternative (ad esempio tramite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API). Oltre alla conversione del formato, il responsabile Open Data deve valutare anche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41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http://it.wikipedia.org/wiki/Crowdsourcing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42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http://creativecommons.org/publicdomain/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43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http://creativecommons.org/licenses/by/3.0/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44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http://www.dati.gov.it/</w:t>
      </w:r>
      <w:proofErr w:type="spellStart"/>
      <w:r w:rsidRPr="00F4397F">
        <w:rPr>
          <w:rFonts w:asciiTheme="minorHAnsi" w:hAnsiTheme="minorHAnsi" w:cs="Calibri"/>
          <w:color w:val="0000FF"/>
          <w:sz w:val="20"/>
          <w:szCs w:val="20"/>
        </w:rPr>
        <w:t>iodl</w:t>
      </w:r>
      <w:proofErr w:type="spellEnd"/>
      <w:r w:rsidRPr="00F4397F">
        <w:rPr>
          <w:rFonts w:asciiTheme="minorHAnsi" w:hAnsiTheme="minorHAnsi" w:cs="Calibri"/>
          <w:color w:val="0000FF"/>
          <w:sz w:val="20"/>
          <w:szCs w:val="20"/>
        </w:rPr>
        <w:t>/2.0/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45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http://creativecommons.org/licenses/by-sa/3.0/it/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46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http://okfn.org/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47 </w:t>
      </w:r>
      <w:hyperlink r:id="rId16" w:history="1">
        <w:r w:rsidR="00522951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http://opendatacommons.org/licenses/by/summary/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48 </w:t>
      </w:r>
      <w:hyperlink r:id="rId17" w:history="1">
        <w:r w:rsidR="00522951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http://opendatacommons.org/licenses/odbl/summary/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49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http://opendatacommons.org/licenses/pddl/summary/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l’opportunità di offrire esperienze iterative per la navigazione dei dati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direttamente dal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“Portale Open Data”, come mappe iterative (basate per esempio su file KML e shape di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),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visualizzazioni grafiche di diverso tipo (istogrammi, grafici a barre, a linee, a dispersione, a torta, a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bolle…</w:t>
      </w:r>
      <w:proofErr w:type="spellEnd"/>
      <w:r w:rsidRPr="00F4397F">
        <w:rPr>
          <w:rFonts w:asciiTheme="minorHAnsi" w:hAnsiTheme="minorHAnsi" w:cs="Segoe UI"/>
          <w:color w:val="000000"/>
        </w:rPr>
        <w:t>), visualizzazione tabulare dei dati, nonché accesso a API che permettano alla comunità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sviluppatori di interrogare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in tempo reale.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Queste esperienze iterative che aggregano un maggior valore al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pubblicato possono essere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trovate tra le varie funzionalità del sistema di gestione dei dati (DMS) scelto per il “Portale Open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Data”, oltre alle indispensabili funzionalità di base (inserimento, modifica, eliminazione, ricerca)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funzionalità di gestione del contenuto del Portale (pagine, blog, tema grafico, ecc).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Alcuni prodotti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Open Source per la gestione dei dati (come ad esempio CKAN</w:t>
      </w:r>
      <w:r w:rsidRPr="00F4397F">
        <w:rPr>
          <w:rFonts w:asciiTheme="minorHAnsi" w:hAnsiTheme="minorHAnsi" w:cs="Arial"/>
          <w:color w:val="333333"/>
          <w:sz w:val="14"/>
          <w:szCs w:val="14"/>
        </w:rPr>
        <w:t>50</w:t>
      </w:r>
      <w:r w:rsidRPr="00F4397F">
        <w:rPr>
          <w:rFonts w:asciiTheme="minorHAnsi" w:hAnsiTheme="minorHAnsi" w:cs="Segoe UI"/>
          <w:color w:val="000000"/>
        </w:rPr>
        <w:t>) hanno altre funzionalità specifiche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come: rappresentazione RDF dei </w:t>
      </w:r>
      <w:proofErr w:type="spellStart"/>
      <w:r w:rsidRPr="00F4397F">
        <w:rPr>
          <w:rFonts w:asciiTheme="minorHAnsi" w:hAnsiTheme="minorHAnsi" w:cs="Segoe UI"/>
          <w:color w:val="000000"/>
        </w:rPr>
        <w:t>metadata</w:t>
      </w:r>
      <w:proofErr w:type="spellEnd"/>
      <w:r w:rsidRPr="00F4397F">
        <w:rPr>
          <w:rFonts w:asciiTheme="minorHAnsi" w:hAnsiTheme="minorHAnsi" w:cs="Segoe UI"/>
          <w:color w:val="000000"/>
        </w:rPr>
        <w:t>, integrazione con altri CMS (Drupal</w:t>
      </w:r>
      <w:r w:rsidRPr="00F4397F">
        <w:rPr>
          <w:rFonts w:asciiTheme="minorHAnsi" w:hAnsiTheme="minorHAnsi" w:cs="Arial"/>
          <w:color w:val="333333"/>
          <w:sz w:val="14"/>
          <w:szCs w:val="14"/>
        </w:rPr>
        <w:t>51</w:t>
      </w:r>
      <w:r w:rsidRPr="00F4397F">
        <w:rPr>
          <w:rFonts w:asciiTheme="minorHAnsi" w:hAnsiTheme="minorHAnsi" w:cs="Segoe UI"/>
          <w:color w:val="000000"/>
        </w:rPr>
        <w:t>), supporto 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metadati </w:t>
      </w:r>
      <w:proofErr w:type="spellStart"/>
      <w:r w:rsidRPr="00F4397F">
        <w:rPr>
          <w:rFonts w:asciiTheme="minorHAnsi" w:hAnsiTheme="minorHAnsi" w:cs="Segoe UI"/>
          <w:color w:val="000000"/>
        </w:rPr>
        <w:t>geospaziali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(in conformità con i requisiti INSPIRE</w:t>
      </w:r>
      <w:r w:rsidRPr="00F4397F">
        <w:rPr>
          <w:rFonts w:asciiTheme="minorHAnsi" w:hAnsiTheme="minorHAnsi" w:cs="Arial"/>
          <w:color w:val="333333"/>
          <w:sz w:val="14"/>
          <w:szCs w:val="14"/>
        </w:rPr>
        <w:t xml:space="preserve">52 </w:t>
      </w:r>
      <w:r w:rsidRPr="00F4397F">
        <w:rPr>
          <w:rFonts w:asciiTheme="minorHAnsi" w:hAnsiTheme="minorHAnsi" w:cs="Segoe UI"/>
          <w:color w:val="000000"/>
        </w:rPr>
        <w:t xml:space="preserve">per la ricerca e </w:t>
      </w:r>
      <w:proofErr w:type="spellStart"/>
      <w:r w:rsidRPr="00F4397F">
        <w:rPr>
          <w:rFonts w:asciiTheme="minorHAnsi" w:hAnsiTheme="minorHAnsi" w:cs="Segoe UI"/>
          <w:color w:val="000000"/>
        </w:rPr>
        <w:t>discovery</w:t>
      </w:r>
      <w:proofErr w:type="spellEnd"/>
      <w:r w:rsidRPr="00F4397F">
        <w:rPr>
          <w:rFonts w:asciiTheme="minorHAnsi" w:hAnsiTheme="minorHAnsi" w:cs="Segoe UI"/>
          <w:color w:val="000000"/>
        </w:rPr>
        <w:t>), gestione del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workflow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ricerca avanzata, </w:t>
      </w:r>
      <w:proofErr w:type="spellStart"/>
      <w:r w:rsidRPr="00F4397F">
        <w:rPr>
          <w:rFonts w:asciiTheme="minorHAnsi" w:hAnsiTheme="minorHAnsi" w:cs="Segoe UI"/>
          <w:color w:val="000000"/>
        </w:rPr>
        <w:t>preview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del contenuto attraverso visualizzazioni in mappa, ecc.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La scelta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iniziale del software di gestione dei dati per il “Portale Open Data” condiziona quindi (almeno in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parte) il modo in cui gli utenti potranno visualizzare le informazioni sui dati o interagire con il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a meno che all’interno dello Staff tecnico/operativo non ci siano le giuste competenze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adattare la piattaforma (se questa è Open Source) a specifiche necessità.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Qualunque sia il software di gestione dei dati utilizzato per gestire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Catalogue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(e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preferibilmente gestisca anche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Pipeline 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Archive</w:t>
      </w:r>
      <w:proofErr w:type="spellEnd"/>
      <w:r w:rsidRPr="00F4397F">
        <w:rPr>
          <w:rFonts w:asciiTheme="minorHAnsi" w:hAnsiTheme="minorHAnsi" w:cs="Segoe UI"/>
          <w:color w:val="000000"/>
        </w:rPr>
        <w:t>), deve essere possibile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accedere ad una interfaccia amministrativa per pubblicare (ed eventualmente de-pubblicare) i dati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 i suoi metadati.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 </w:t>
      </w:r>
      <w:r w:rsidRPr="00F4397F">
        <w:rPr>
          <w:rFonts w:asciiTheme="minorHAnsi" w:hAnsiTheme="minorHAnsi" w:cs="Segoe UI"/>
          <w:color w:val="000000"/>
        </w:rPr>
        <w:lastRenderedPageBreak/>
        <w:t xml:space="preserve">ogni caso il Responsabile Open Data, prima della pubblicazione definitiva di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deve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assicurarsi che esso rispetti al massimo possibile le seguenti caratteristiche: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che saranno quanto più </w:t>
      </w:r>
      <w:r w:rsidRPr="00F4397F">
        <w:rPr>
          <w:rFonts w:asciiTheme="minorHAnsi" w:hAnsiTheme="minorHAnsi" w:cs="Segoe UI"/>
          <w:b/>
          <w:bCs/>
          <w:color w:val="000000"/>
        </w:rPr>
        <w:t xml:space="preserve">completi </w:t>
      </w:r>
      <w:r w:rsidRPr="00F4397F">
        <w:rPr>
          <w:rFonts w:asciiTheme="minorHAnsi" w:hAnsiTheme="minorHAnsi" w:cs="Segoe UI"/>
          <w:color w:val="000000"/>
        </w:rPr>
        <w:t>possibile: cioè contenenti tutte le componenti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consentano la loro esportazione, per utilizzarli online e offline, integrarli ed aggregarli con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altre risorse e diffonderli in rete;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che saranno </w:t>
      </w:r>
      <w:r w:rsidRPr="00F4397F">
        <w:rPr>
          <w:rFonts w:asciiTheme="minorHAnsi" w:hAnsiTheme="minorHAnsi" w:cs="Segoe UI"/>
          <w:b/>
          <w:bCs/>
          <w:color w:val="000000"/>
        </w:rPr>
        <w:t xml:space="preserve">strutturati </w:t>
      </w:r>
      <w:r w:rsidRPr="00F4397F">
        <w:rPr>
          <w:rFonts w:asciiTheme="minorHAnsi" w:hAnsiTheme="minorHAnsi" w:cs="Segoe UI"/>
          <w:color w:val="000000"/>
        </w:rPr>
        <w:t>in modo tale che siano presentati in maniera sufficientemente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granulare (primari), così che possano essere utilizzati dagli utenti per integrarli ed aggregarli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 altri dati e contenuti in formato digitale;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che permetteranno l’accesso e l'utilizzo immediati (</w:t>
      </w:r>
      <w:r w:rsidRPr="00F4397F">
        <w:rPr>
          <w:rFonts w:asciiTheme="minorHAnsi" w:hAnsiTheme="minorHAnsi" w:cs="Segoe UI"/>
          <w:b/>
          <w:bCs/>
          <w:color w:val="000000"/>
        </w:rPr>
        <w:t>tempestivi</w:t>
      </w:r>
      <w:r w:rsidRPr="00F4397F">
        <w:rPr>
          <w:rFonts w:asciiTheme="minorHAnsi" w:hAnsiTheme="minorHAnsi" w:cs="Segoe UI"/>
          <w:color w:val="000000"/>
        </w:rPr>
        <w:t>);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che saranno disponibili per il maggior numero di utenti senza barriere all’utilizzo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(</w:t>
      </w:r>
      <w:r w:rsidRPr="00F4397F">
        <w:rPr>
          <w:rFonts w:asciiTheme="minorHAnsi" w:hAnsiTheme="minorHAnsi" w:cs="Segoe UI"/>
          <w:b/>
          <w:bCs/>
          <w:color w:val="000000"/>
        </w:rPr>
        <w:t>accessibili</w:t>
      </w:r>
      <w:r w:rsidRPr="00F4397F">
        <w:rPr>
          <w:rFonts w:asciiTheme="minorHAnsi" w:hAnsiTheme="minorHAnsi" w:cs="Segoe UI"/>
          <w:color w:val="000000"/>
        </w:rPr>
        <w:t>), preferibilmente attraverso il solo protocollo HTTP e senza il ricorso 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piattaforme proprietarie, disponibili inoltre senza pagamento, registrazione, identificazione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o richiesta di qualsiasi tipo, salvo specifiche eccezioni individuate e motivate;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50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http://ckan.org/</w:t>
      </w:r>
      <w:r w:rsidR="00522951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51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https://drupal.org/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ymbolMT"/>
          <w:color w:val="00000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52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http://inspire.jrc.ec.europa.eu/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che saranno </w:t>
      </w:r>
      <w:r w:rsidRPr="00F4397F">
        <w:rPr>
          <w:rFonts w:asciiTheme="minorHAnsi" w:hAnsiTheme="minorHAnsi" w:cs="Segoe UI"/>
          <w:b/>
          <w:bCs/>
          <w:color w:val="000000"/>
        </w:rPr>
        <w:t>leggibili da computer</w:t>
      </w:r>
      <w:r w:rsidRPr="00F4397F">
        <w:rPr>
          <w:rFonts w:asciiTheme="minorHAnsi" w:hAnsiTheme="minorHAnsi" w:cs="Segoe UI"/>
          <w:color w:val="000000"/>
        </w:rPr>
        <w:t>, ovvero che i dati siano processabili in automatico dal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computer;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che saranno disponibili in formati non proprietari cioè </w:t>
      </w:r>
      <w:r w:rsidRPr="00F4397F">
        <w:rPr>
          <w:rFonts w:asciiTheme="minorHAnsi" w:hAnsiTheme="minorHAnsi" w:cs="Segoe UI"/>
          <w:b/>
          <w:bCs/>
          <w:color w:val="000000"/>
        </w:rPr>
        <w:t xml:space="preserve">codificati in formati aperti </w:t>
      </w:r>
      <w:r w:rsidRPr="00F4397F">
        <w:rPr>
          <w:rFonts w:asciiTheme="minorHAnsi" w:hAnsiTheme="minorHAnsi" w:cs="Segoe UI"/>
          <w:color w:val="000000"/>
        </w:rPr>
        <w:t>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pubblici sui quali non vi siano entità (aziende o organizzazioni) che ne abbiano il controllo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esclusivo. Sono preferibili i formati con le codifiche più semplici e maggiormente supportati;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che saranno </w:t>
      </w:r>
      <w:r w:rsidRPr="00F4397F">
        <w:rPr>
          <w:rFonts w:asciiTheme="minorHAnsi" w:hAnsiTheme="minorHAnsi" w:cs="Segoe UI"/>
          <w:b/>
          <w:bCs/>
          <w:color w:val="000000"/>
        </w:rPr>
        <w:t>liberi da licenze che ne limitino l’uso</w:t>
      </w:r>
      <w:r w:rsidRPr="00F4397F">
        <w:rPr>
          <w:rFonts w:asciiTheme="minorHAnsi" w:hAnsiTheme="minorHAnsi" w:cs="Segoe UI"/>
          <w:color w:val="000000"/>
        </w:rPr>
        <w:t>, ovvero licenze che permettono l’uso,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diffusione e la ridistribuzione; l’uso di licenze che prevedono limiti all’uso dei dati deve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essere motivato;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che saranno </w:t>
      </w:r>
      <w:r w:rsidRPr="00F4397F">
        <w:rPr>
          <w:rFonts w:asciiTheme="minorHAnsi" w:hAnsiTheme="minorHAnsi" w:cs="Segoe UI"/>
          <w:b/>
          <w:bCs/>
          <w:color w:val="000000"/>
        </w:rPr>
        <w:t xml:space="preserve">riutilizzabili e integrabili </w:t>
      </w:r>
      <w:r w:rsidRPr="00F4397F">
        <w:rPr>
          <w:rFonts w:asciiTheme="minorHAnsi" w:hAnsiTheme="minorHAnsi" w:cs="Segoe UI"/>
          <w:color w:val="000000"/>
        </w:rPr>
        <w:t>fino a creare nuovi servizi e applicazioni di pubblica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utilità, anche per finalità commerciali (la tempestività, l’accessibilità e l’applicazione di una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licenza e formato aperti ne sono un pre-requisito);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che </w:t>
      </w:r>
      <w:r w:rsidRPr="00F4397F">
        <w:rPr>
          <w:rFonts w:asciiTheme="minorHAnsi" w:hAnsiTheme="minorHAnsi" w:cs="Segoe UI"/>
          <w:b/>
          <w:bCs/>
          <w:color w:val="000000"/>
        </w:rPr>
        <w:t xml:space="preserve">permetteranno agli utenti di valutare il </w:t>
      </w:r>
      <w:proofErr w:type="spellStart"/>
      <w:r w:rsidRPr="00F4397F">
        <w:rPr>
          <w:rFonts w:asciiTheme="minorHAnsi" w:hAnsiTheme="minorHAnsi" w:cs="Segoe UI"/>
          <w:b/>
          <w:bCs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b/>
          <w:bCs/>
          <w:color w:val="000000"/>
        </w:rPr>
        <w:t xml:space="preserve"> e esprimere idee o suggerimenti</w:t>
      </w:r>
      <w:r w:rsidR="00802942">
        <w:rPr>
          <w:rFonts w:asciiTheme="minorHAnsi" w:hAnsiTheme="minorHAnsi" w:cs="Segoe UI"/>
          <w:b/>
          <w:bCs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per l’aggiornamento o miglioramento della qualità dei dati serviti (ovvero che almeno 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funzionalità di rating e invio di commenti o segnalazioni siano abilitate).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2.17 Feedback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Responsabile Open data, con l’immediato supporto dello Staff tecnico/operativo deve dare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tempestivo feedback agli utenti sulla pubblicazione del nuovo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 può avvenire sotto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forma di pubblicazione di un annuncio di rilascio di un nuovo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in una sezione specifica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Portale Open Data (pagina “notizie” o “annunci”…). In modo particolare, se la pubblicazione è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avvenuta in seguito ad una o più richieste da parte degli utenti, è necessario rispondere in modo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puntuale alla richiesta, informando dell’avvenuta pubblicazione. Mantenere una buona relazione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comunicazione con gli utenti che interagiscono con l’Ente </w:t>
      </w:r>
      <w:r w:rsidRPr="00F4397F">
        <w:rPr>
          <w:rFonts w:asciiTheme="minorHAnsi" w:hAnsiTheme="minorHAnsi" w:cs="Segoe UI"/>
          <w:color w:val="000000"/>
        </w:rPr>
        <w:lastRenderedPageBreak/>
        <w:t>tramite il Portale Open Data è uno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punti chiavi nella costruzione di una comunità Open Data attiva e partecipativa. Infine, una nota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interna di pubblicazione può essere emessa al Responsabile dell’Area, al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 al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Responsabile Tutela Dati, nonché ad altri soggetti potenzialmente interessati all’interno dell’Ente.</w:t>
      </w:r>
      <w:r w:rsidR="00802942">
        <w:rPr>
          <w:rFonts w:asciiTheme="minorHAnsi" w:hAnsiTheme="minorHAnsi" w:cs="Segoe UI"/>
          <w:color w:val="000000"/>
        </w:rPr>
        <w:t xml:space="preserve">  </w:t>
      </w:r>
    </w:p>
    <w:p w:rsidR="00522951" w:rsidRDefault="00522951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</w:pPr>
    </w:p>
    <w:p w:rsidR="00522951" w:rsidRDefault="00F4397F" w:rsidP="00802942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t>3 Monitoraggio</w:t>
      </w:r>
    </w:p>
    <w:p w:rsidR="00522951" w:rsidRDefault="00F4397F" w:rsidP="00522951">
      <w:pPr>
        <w:spacing w:after="200" w:line="276" w:lineRule="auto"/>
        <w:jc w:val="center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5205730" cy="285178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0676" t="54930" r="29774" b="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97F">
        <w:rPr>
          <w:rFonts w:asciiTheme="minorHAnsi" w:hAnsiTheme="minorHAnsi"/>
          <w:noProof/>
          <w:lang w:eastAsia="it-IT"/>
        </w:rPr>
        <w:br/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3.1 Valutazione interna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Una volta pubblicato sul Portale Open Data, il Responsabile Open data deve incaricare lo Staff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tecnico/operative del monitoraggio della performance e del gradimento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. Per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maggior parte delle metriche di misurazione la raccolta dei dati può essere automatizzata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utilizzando le funzionalità del sistema di gestione del Portale Open Data o prodotti specifici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monitoraggio del traffico e del comportamento degli utenti del Portale (ad esempio con Google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802942">
        <w:rPr>
          <w:rFonts w:asciiTheme="minorHAnsi" w:hAnsiTheme="minorHAnsi" w:cs="Segoe UI"/>
          <w:color w:val="000000"/>
        </w:rPr>
        <w:t>Analytics</w:t>
      </w:r>
      <w:r w:rsidRPr="00802942">
        <w:rPr>
          <w:rFonts w:asciiTheme="minorHAnsi" w:hAnsiTheme="minorHAnsi" w:cs="Segoe UI"/>
          <w:color w:val="000000"/>
          <w:sz w:val="14"/>
          <w:szCs w:val="14"/>
        </w:rPr>
        <w:t xml:space="preserve">53 </w:t>
      </w:r>
      <w:r w:rsidRPr="00802942">
        <w:rPr>
          <w:rFonts w:asciiTheme="minorHAnsi" w:hAnsiTheme="minorHAnsi" w:cs="Segoe UI"/>
          <w:color w:val="000000"/>
        </w:rPr>
        <w:t>o il software Open Source Piwik</w:t>
      </w:r>
      <w:r w:rsidRPr="00802942">
        <w:rPr>
          <w:rFonts w:asciiTheme="minorHAnsi" w:hAnsiTheme="minorHAnsi" w:cs="Segoe UI"/>
          <w:color w:val="000000"/>
          <w:sz w:val="14"/>
          <w:szCs w:val="14"/>
        </w:rPr>
        <w:t>54</w:t>
      </w:r>
      <w:r w:rsidRPr="00802942">
        <w:rPr>
          <w:rFonts w:asciiTheme="minorHAnsi" w:hAnsiTheme="minorHAnsi" w:cs="Segoe UI"/>
          <w:color w:val="000000"/>
        </w:rPr>
        <w:t xml:space="preserve">). </w:t>
      </w:r>
      <w:r w:rsidRPr="00F4397F">
        <w:rPr>
          <w:rFonts w:asciiTheme="minorHAnsi" w:hAnsiTheme="minorHAnsi" w:cs="Segoe UI"/>
          <w:color w:val="000000"/>
        </w:rPr>
        <w:t xml:space="preserve">Attraverso l’indirizzo web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pubblicato sul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Portale, e i log di accesso solitamente gestiti dai sistemi di web </w:t>
      </w:r>
      <w:proofErr w:type="spellStart"/>
      <w:r w:rsidRPr="00F4397F">
        <w:rPr>
          <w:rFonts w:asciiTheme="minorHAnsi" w:hAnsiTheme="minorHAnsi" w:cs="Segoe UI"/>
          <w:color w:val="000000"/>
        </w:rPr>
        <w:t>analytics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appena citati, lo Staff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tecnico/operative potrà monitorare diversi parametri di performance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quali, ma non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solo: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Disponibilità dell’accesso, ovvero se l’indirizzo è stato raggiunto in maniera corretta (oppure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se sono presenti errori “404 Pagina non trovata”);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Il numero di visite (e visite uniche) alla pagina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 la variazione rispetto a periodi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precedenti;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Conteggio dei download e la sua distribuzione nel tempo, in grado di fornire un utile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indicatore dell’interesse per un determinato set di dati;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Le sorgenti principali di traffico, per identificare i siti che </w:t>
      </w:r>
      <w:r w:rsidRPr="00F4397F">
        <w:rPr>
          <w:rFonts w:asciiTheme="minorHAnsi" w:hAnsiTheme="minorHAnsi" w:cs="Segoe UI"/>
          <w:color w:val="000000"/>
        </w:rPr>
        <w:lastRenderedPageBreak/>
        <w:t>portano la maggior parte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visitatori al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pubblicato;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53 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http://www.google.it/intl/it/analytics/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54 </w:t>
      </w:r>
      <w:hyperlink r:id="rId19" w:history="1">
        <w:r w:rsidR="00522951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http://it.piwik.org/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Percentuale e numero assoluto di “conversioni” per obiettivi pre-definiti (ad esempio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numero di persone che hanno scaricato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in un formato specifico - attraverso una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URI permanente - rispetto il totale di accessi alla pagina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).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Il Responsabile Open Data e lo Staff tecnico/operativo possono usare, inoltre, altre metriche non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relazionate direttamente al traffico della pagina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sul Portale Open Data per valutare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gradimento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da parte degli utenti: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Numero di applicazioni (“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app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”) che usano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: è difficile prevedere come verranno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impiegati 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rilasciati, o quante applicazioni saranno sviluppate. Per questo motivo, si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consiglia di lasciare a disposizione degli utenti un formulario di segnalazione di applicazioni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basate sul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ed eventualmente una sezione “vetrina” per le applicazioni create su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ciascun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di modo a incentivare gli sviluppatori a segnalare le proprie applicazioni;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Numero di download di una </w:t>
      </w:r>
      <w:proofErr w:type="spellStart"/>
      <w:r w:rsidRPr="00F4397F">
        <w:rPr>
          <w:rFonts w:asciiTheme="minorHAnsi" w:hAnsiTheme="minorHAnsi" w:cs="Segoe UI"/>
          <w:color w:val="000000"/>
        </w:rPr>
        <w:t>app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 si appoggia sul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: come per l’esistenza dell’</w:t>
      </w:r>
      <w:proofErr w:type="spellStart"/>
      <w:r w:rsidRPr="00F4397F">
        <w:rPr>
          <w:rFonts w:asciiTheme="minorHAnsi" w:hAnsiTheme="minorHAnsi" w:cs="Segoe UI"/>
          <w:color w:val="000000"/>
        </w:rPr>
        <w:t>app</w:t>
      </w:r>
      <w:proofErr w:type="spellEnd"/>
      <w:r w:rsidRPr="00F4397F">
        <w:rPr>
          <w:rFonts w:asciiTheme="minorHAnsi" w:hAnsiTheme="minorHAnsi" w:cs="Segoe UI"/>
          <w:color w:val="000000"/>
        </w:rPr>
        <w:t>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il numero di </w:t>
      </w:r>
      <w:proofErr w:type="spellStart"/>
      <w:r w:rsidRPr="00F4397F">
        <w:rPr>
          <w:rFonts w:asciiTheme="minorHAnsi" w:hAnsiTheme="minorHAnsi" w:cs="Segoe UI"/>
          <w:color w:val="000000"/>
        </w:rPr>
        <w:t>downloads</w:t>
      </w:r>
      <w:proofErr w:type="spellEnd"/>
      <w:r w:rsidRPr="00F4397F">
        <w:rPr>
          <w:rFonts w:asciiTheme="minorHAnsi" w:hAnsiTheme="minorHAnsi" w:cs="Segoe UI"/>
          <w:color w:val="000000"/>
        </w:rPr>
        <w:t>, se non segnalato in qualche modo dall’autore dell’applicazione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può essere soltanto stimato in base alle valutazioni e dati presenti nella pagina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dell’applicazione nei vari </w:t>
      </w:r>
      <w:proofErr w:type="spellStart"/>
      <w:r w:rsidRPr="00F4397F">
        <w:rPr>
          <w:rFonts w:asciiTheme="minorHAnsi" w:hAnsiTheme="minorHAnsi" w:cs="Segoe UI"/>
          <w:color w:val="000000"/>
        </w:rPr>
        <w:t>app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store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(</w:t>
      </w:r>
      <w:proofErr w:type="spellStart"/>
      <w:r w:rsidRPr="00F4397F">
        <w:rPr>
          <w:rFonts w:asciiTheme="minorHAnsi" w:hAnsiTheme="minorHAnsi" w:cs="Segoe UI"/>
          <w:color w:val="000000"/>
        </w:rPr>
        <w:t>apple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google play </w:t>
      </w:r>
      <w:proofErr w:type="spellStart"/>
      <w:r w:rsidRPr="00F4397F">
        <w:rPr>
          <w:rFonts w:asciiTheme="minorHAnsi" w:hAnsiTheme="minorHAnsi" w:cs="Segoe UI"/>
          <w:color w:val="000000"/>
        </w:rPr>
        <w:t>store</w:t>
      </w:r>
      <w:proofErr w:type="spellEnd"/>
      <w:r w:rsidRPr="00F4397F">
        <w:rPr>
          <w:rFonts w:asciiTheme="minorHAnsi" w:hAnsiTheme="minorHAnsi" w:cs="Segoe UI"/>
          <w:color w:val="000000"/>
        </w:rPr>
        <w:t>,…);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Numero di “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like</w:t>
      </w:r>
      <w:proofErr w:type="spellEnd"/>
      <w:r w:rsidRPr="00F4397F">
        <w:rPr>
          <w:rFonts w:asciiTheme="minorHAnsi" w:hAnsiTheme="minorHAnsi" w:cs="Segoe UI"/>
          <w:color w:val="000000"/>
        </w:rPr>
        <w:t>” sull’</w:t>
      </w:r>
      <w:proofErr w:type="spellStart"/>
      <w:r w:rsidRPr="00F4397F">
        <w:rPr>
          <w:rFonts w:asciiTheme="minorHAnsi" w:hAnsiTheme="minorHAnsi" w:cs="Segoe UI"/>
          <w:color w:val="000000"/>
        </w:rPr>
        <w:t>app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o sul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esposto: sistemi di valutazione (1-5 stelle, “mi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piace/non mi piace”,…) presenti sulla pagina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e/o sulla pagina di download delle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applicazioni che lo usano possono dare ulteriori segnali sul gradimento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suo utilizzo da parte della comunità di riferimento;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Segnalazioni ricevute: osservazioni, proposte e rilevazioni di eventuali inesattezze o errori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sui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attraverso la pagina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possono contenere ulteriori indicazioni sul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gradimento/performance dei dati rilasciati;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Risultato di sondaggi </w:t>
      </w:r>
      <w:proofErr w:type="spellStart"/>
      <w:r w:rsidRPr="00F4397F">
        <w:rPr>
          <w:rFonts w:asciiTheme="minorHAnsi" w:hAnsiTheme="minorHAnsi" w:cs="Segoe UI"/>
          <w:color w:val="000000"/>
        </w:rPr>
        <w:t>ad-hoc</w:t>
      </w:r>
      <w:proofErr w:type="spellEnd"/>
      <w:r w:rsidRPr="00F4397F">
        <w:rPr>
          <w:rFonts w:asciiTheme="minorHAnsi" w:hAnsiTheme="minorHAnsi" w:cs="Segoe UI"/>
          <w:color w:val="000000"/>
        </w:rPr>
        <w:t>: è possibile pubblicare un sondaggio aperto sul Portale Open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Data, oppure utilizzare dati di una “newsletter” per mandare un sondaggio </w:t>
      </w:r>
      <w:proofErr w:type="spellStart"/>
      <w:r w:rsidRPr="00F4397F">
        <w:rPr>
          <w:rFonts w:asciiTheme="minorHAnsi" w:hAnsiTheme="minorHAnsi" w:cs="Segoe UI"/>
          <w:color w:val="000000"/>
        </w:rPr>
        <w:t>ad-hoc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a utenti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registrati o a categorie potenzialmente interessate ai dati dell’Ente (ad es.: ordini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professionali, </w:t>
      </w:r>
      <w:proofErr w:type="spellStart"/>
      <w:r w:rsidRPr="00F4397F">
        <w:rPr>
          <w:rFonts w:asciiTheme="minorHAnsi" w:hAnsiTheme="minorHAnsi" w:cs="Segoe UI"/>
          <w:color w:val="000000"/>
        </w:rPr>
        <w:t>confcommercio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albergatori,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>) e raccogliere informazioni più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approfondite sul gradimento e utilizzo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pubblicato.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 dati aperti creeranno valore solo quando qualcuno li userà, specialmente con profitto. È quindi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importante tener conto dell’interesse commerciale che riscuotono i diversi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 valutare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qualità delle applicazioni che ne derivano.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Al Responsabile Open Data tocca comprendere quali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 sono realmente in grado di creare valore pubblico o di generare profitto per le imprese,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valutando in modo complessivo quanti più possibili dati statistici su di essi. Tale comprensione può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essere utilmente mediata attraverso processi di </w:t>
      </w:r>
      <w:proofErr w:type="spellStart"/>
      <w:r w:rsidRPr="00F4397F">
        <w:rPr>
          <w:rFonts w:asciiTheme="minorHAnsi" w:hAnsiTheme="minorHAnsi" w:cs="Segoe UI"/>
          <w:color w:val="000000"/>
        </w:rPr>
        <w:t>co-progettazione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 coinvolgano alcuni potenziali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portatori di interesse, attraverso rapporti diretti e continuativi con gli sviluppatori, le imprese e 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comunità open data, studenti, ricercatori e cittadini.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lastRenderedPageBreak/>
        <w:t>Per l’Ente questo deve significare la costruzione di un dialogo continuo con tutti gli attori sociali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coinvolti, dove la capacità di ascolto e la volontà d’interazione sono due fattori indispensabili per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successo, ben più rilevanti degli aspetti tecnologici.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3.2 Valutazione esterna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Gli attori sociali (associazioni e comunità open data, sviluppatori, imprese, studenti, ricercatori,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cittadini, altri enti </w:t>
      </w:r>
      <w:proofErr w:type="spellStart"/>
      <w:r w:rsidRPr="00F4397F">
        <w:rPr>
          <w:rFonts w:asciiTheme="minorHAnsi" w:hAnsiTheme="minorHAnsi" w:cs="Segoe UI"/>
          <w:color w:val="000000"/>
        </w:rPr>
        <w:t>pubblici…</w:t>
      </w:r>
      <w:proofErr w:type="spellEnd"/>
      <w:r w:rsidRPr="00F4397F">
        <w:rPr>
          <w:rFonts w:asciiTheme="minorHAnsi" w:hAnsiTheme="minorHAnsi" w:cs="Segoe UI"/>
          <w:color w:val="000000"/>
        </w:rPr>
        <w:t>) sono partecipanti attivi del processo di valutazione sulla performance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e gradimento sul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pubblicato. Le loro osservazioni, proposte o rilevazioni di eventuali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inesattezze o errori sui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sono fondamentali per la conclusione del ciclo di miglioramento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continuo proposto. Se previste dal Portale Open Data, di seguito alcune funzionalità utili 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permettere l’espressione di gradimento degli attori sociali sul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pubblicato: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Sistema di rating: l’abilitazione di un sistema di rating (ad es.: 1-5 stelle “mi piace/non mi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piace”, </w:t>
      </w:r>
      <w:proofErr w:type="spellStart"/>
      <w:r w:rsidRPr="00F4397F">
        <w:rPr>
          <w:rFonts w:asciiTheme="minorHAnsi" w:hAnsiTheme="minorHAnsi" w:cs="Segoe UI"/>
          <w:color w:val="000000"/>
        </w:rPr>
        <w:t>ecc…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) sulla stessa pagina di download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permette agli attori sociali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esprimere velocemente e in modo anonimo una preferenza generica sulla presentazione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dati. Si può abilitare un sistema di valutazione più strutturato per valutare i dati in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dimensioni più definite come “presentazione della pagina e interattività”, “qualità dei dati”,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“accessibilità” tenendo come obiettivo però la semplicità d’uso di tale sistema (non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presentare troppe dimensioni e fornire in modo chiaro una breve spiegazione sul significato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 ciascuna dimensione da valutare);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Formulario di contatto: un formulario di contatto dedicato (o una semplice casella di posta)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permette agli attori sociali di fornire una valutazione più completa (per esempio classificate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come “correzione”, “suggerimento”, “problemi di utilizzo”,…) in merito al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. È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importante fornire un campo a testo libero e, quando possibile, chiedere un recapito per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eventualmente contattare l’utente e fornire una risposta il quanto prima;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C776EA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Formulario di segnalazione </w:t>
      </w:r>
      <w:proofErr w:type="spellStart"/>
      <w:r w:rsidRPr="00F4397F">
        <w:rPr>
          <w:rFonts w:asciiTheme="minorHAnsi" w:hAnsiTheme="minorHAnsi" w:cs="Segoe UI"/>
          <w:color w:val="000000"/>
        </w:rPr>
        <w:t>app</w:t>
      </w:r>
      <w:proofErr w:type="spellEnd"/>
      <w:r w:rsidRPr="00F4397F">
        <w:rPr>
          <w:rFonts w:asciiTheme="minorHAnsi" w:hAnsiTheme="minorHAnsi" w:cs="Segoe UI"/>
          <w:color w:val="000000"/>
        </w:rPr>
        <w:t>: permettere agli attori sociali (in modo particolare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comunità di sviluppo) di segnalare applicazioni realizzate sulla base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pubblicato,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ed eventualmente riproporre queste applicazioni in un’apposita sezione del Portale Open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Data aiuterà a stabilire un legame più forte di collaborazione tra l’Ente e la comunità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riferimento.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522951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È importante che il Responsabile Open Data abbia definito, all’interno della struttura di gestione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dei dati aperti, quali saranno le modalità di dialogo con gli attori sociali. In modo particolare è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importante assicurarsi che le segnalazioni provenienti dai formulari e che contengano il recapito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dell’utente vengano sempre seguite e mai lasciate senza risposta, prima con una </w:t>
      </w:r>
      <w:proofErr w:type="spellStart"/>
      <w:r w:rsidRPr="00F4397F">
        <w:rPr>
          <w:rFonts w:asciiTheme="minorHAnsi" w:hAnsiTheme="minorHAnsi" w:cs="Segoe UI"/>
          <w:color w:val="000000"/>
        </w:rPr>
        <w:t>email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di conferma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 ricevimento della segnalazione e successivamente con uno o più messaggi che diano seguito al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dialogo fino alla sua conclusione. Tale accorgimento aumenta in modo significativo la fiducia degli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attori sociali coinvolti nell’impegno preso dall’Ente per la gestione dei dati aperti e l’ascolto verso 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suoi veri destinatari.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C776EA" w:rsidRDefault="00F4397F" w:rsidP="00C776EA">
      <w:pPr>
        <w:spacing w:after="200" w:line="276" w:lineRule="auto"/>
        <w:jc w:val="center"/>
        <w:rPr>
          <w:rFonts w:asciiTheme="minorHAnsi" w:hAnsiTheme="minorHAnsi"/>
          <w:noProof/>
          <w:lang w:eastAsia="it-IT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lastRenderedPageBreak/>
        <w:t>4 Mantenimento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30"/>
          <w:szCs w:val="30"/>
        </w:rPr>
        <w:t xml:space="preserve"> </w:t>
      </w:r>
      <w:r w:rsidRPr="00F4397F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5165090" cy="3494405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3007" t="33803" r="2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349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EA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4.1 Analisi di aderenza agli obiettivi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Il processo 2.3 Definizione degli obiettivi e opportunità di pubblicazione, ha definito, all’interno del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 uno o più obiettivi strategici, allineati al Piano di Strategia Open Data definito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dall’Ente, in termini di priorità di apertura del dato, risultati attesi e grado di apertura (1 a 5 stelle).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Il Responsabile Open Data è incaricato di verificare l’aderenza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agli obiettivi preposti,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compilare i risultati dell’analisi in una sezione di controllo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check</w:t>
      </w:r>
      <w:proofErr w:type="spellEnd"/>
      <w:r w:rsidRPr="00F4397F">
        <w:rPr>
          <w:rFonts w:asciiTheme="minorHAnsi" w:hAnsiTheme="minorHAnsi" w:cs="Segoe UI"/>
          <w:color w:val="000000"/>
        </w:rPr>
        <w:t>, assieme alla data del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controllo e le risorse consultate (Responsabile dell’Area,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Staff tecnico/operativo).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L’analisi servirà a definire quali saranno i prossimi passi per la gestione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la sua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diffusione, aggiornamento o eventuale dismissione.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4.2 Diffusione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Se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analizzato nel processo 4.1 Analisi di aderenza agli obiettivi è ancora aderente agli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obiettivi stabiliti, il Responsabile Open Data deve preoccuparsi di diffondere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utilizzando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maggior numero di canali possibili.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È essenziale tenere presente che gran parte dei dati non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raggiungeranno gli utenti finali direttamente, ma tramite persone che prenderanno i dati e 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trasformeranno per la presentazione. Ad esempio, la maggior parte dei destinatari di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non vorrà (o non avrà bisogno) di navigare all’interno di una grande tabella con coordinate GPS,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ma saranno decisamente più interessate a navigare i dati visualizzandoli </w:t>
      </w:r>
      <w:r w:rsidRPr="00F4397F">
        <w:rPr>
          <w:rFonts w:asciiTheme="minorHAnsi" w:hAnsiTheme="minorHAnsi" w:cs="Segoe UI"/>
          <w:color w:val="000000"/>
        </w:rPr>
        <w:lastRenderedPageBreak/>
        <w:t>all’interno di una mappa.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Lo Staff tecnico/operativo è il responsabile per attuare le azioni di comunicazione e diffusione del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tra i vari canali alternativi, con la supervisione del Responsabile Open Data: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“</w:t>
      </w:r>
      <w:proofErr w:type="spellStart"/>
      <w:r w:rsidRPr="00F4397F">
        <w:rPr>
          <w:rFonts w:asciiTheme="minorHAnsi" w:hAnsiTheme="minorHAnsi" w:cs="Segoe UI"/>
          <w:i/>
          <w:iCs/>
          <w:color w:val="000000"/>
        </w:rPr>
        <w:t>Hackathon</w:t>
      </w:r>
      <w:proofErr w:type="spellEnd"/>
      <w:r w:rsidRPr="00F4397F">
        <w:rPr>
          <w:rFonts w:asciiTheme="minorHAnsi" w:hAnsiTheme="minorHAnsi" w:cs="Segoe UI"/>
          <w:color w:val="000000"/>
        </w:rPr>
        <w:t>”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55 </w:t>
      </w:r>
      <w:r w:rsidRPr="00F4397F">
        <w:rPr>
          <w:rFonts w:asciiTheme="minorHAnsi" w:hAnsiTheme="minorHAnsi" w:cs="Segoe UI"/>
          <w:color w:val="000000"/>
        </w:rPr>
        <w:t>o incontri locali: è probabile che ci siano già gruppi locali organizzati 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lavorano per l’apertura dei dati pubblici e con i quali l’Ente può dialogare ed ottenere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supporto per organizzare un incontro sul tema, migliorare i dati pubblicati o promuovere 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creazione di nuove applicazioni basate sul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. Questi incontri sono destinati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principalmente al coinvolgimento della comunità di sviluppatori, all’interno delle quali si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trovano persone con forte motivazioni e competenze tecniche, pronte a mostrare le loro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capacità e impiegare il loro talento nella costruzione di applicazioni e servizi per il bene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pubblico. Incentivare queste attività di “</w:t>
      </w:r>
      <w:proofErr w:type="spellStart"/>
      <w:r w:rsidRPr="00F4397F">
        <w:rPr>
          <w:rFonts w:asciiTheme="minorHAnsi" w:hAnsiTheme="minorHAnsi" w:cs="Segoe UI"/>
          <w:color w:val="000000"/>
        </w:rPr>
        <w:t>civic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hacking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56</w:t>
      </w:r>
      <w:r w:rsidRPr="00F4397F">
        <w:rPr>
          <w:rFonts w:asciiTheme="minorHAnsi" w:hAnsiTheme="minorHAnsi" w:cs="Segoe UI"/>
          <w:color w:val="000000"/>
        </w:rPr>
        <w:t>” è fondamentale per la crescita della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popolarità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Concorsi: sulla scia dell’iniziativa americana “</w:t>
      </w:r>
      <w:proofErr w:type="spellStart"/>
      <w:r w:rsidRPr="00F4397F">
        <w:rPr>
          <w:rFonts w:asciiTheme="minorHAnsi" w:hAnsiTheme="minorHAnsi" w:cs="Segoe UI"/>
          <w:color w:val="000000"/>
        </w:rPr>
        <w:t>Apps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for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Democracy</w:t>
      </w:r>
      <w:proofErr w:type="spellEnd"/>
      <w:r w:rsidRPr="00F4397F">
        <w:rPr>
          <w:rFonts w:asciiTheme="minorHAnsi" w:hAnsiTheme="minorHAnsi" w:cs="Segoe UI"/>
          <w:color w:val="000000"/>
        </w:rPr>
        <w:t>”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57 </w:t>
      </w:r>
      <w:r w:rsidRPr="00F4397F">
        <w:rPr>
          <w:rFonts w:asciiTheme="minorHAnsi" w:hAnsiTheme="minorHAnsi" w:cs="Segoe UI"/>
          <w:color w:val="000000"/>
        </w:rPr>
        <w:t>e simile esperienza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italiana “Apps4Italy”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58</w:t>
      </w:r>
      <w:r w:rsidRPr="00F4397F">
        <w:rPr>
          <w:rFonts w:asciiTheme="minorHAnsi" w:hAnsiTheme="minorHAnsi" w:cs="Segoe UI"/>
          <w:color w:val="000000"/>
        </w:rPr>
        <w:t>, l’Ente può promuovere concorsi per incentivare la creazione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applicazioni/servizi innovativi basati sui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pubblicati;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Portali Aggregatori di Dati: ci sono siti che raccolgono 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messi a disposizione dalle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varie pubbliche amministrazioni (ad es.: Portale Open Data della Provincia di Roma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59</w:t>
      </w:r>
      <w:r w:rsidRPr="00F4397F">
        <w:rPr>
          <w:rFonts w:asciiTheme="minorHAnsi" w:hAnsiTheme="minorHAnsi" w:cs="Segoe UI"/>
          <w:color w:val="000000"/>
        </w:rPr>
        <w:t>, CKAN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Italia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60</w:t>
      </w:r>
      <w:r w:rsidRPr="00F4397F">
        <w:rPr>
          <w:rFonts w:asciiTheme="minorHAnsi" w:hAnsiTheme="minorHAnsi" w:cs="Segoe UI"/>
          <w:color w:val="000000"/>
        </w:rPr>
        <w:t>, Dati.gov.it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>61</w:t>
      </w:r>
      <w:r w:rsidRPr="00F4397F">
        <w:rPr>
          <w:rFonts w:asciiTheme="minorHAnsi" w:hAnsiTheme="minorHAnsi" w:cs="Segoe UI"/>
          <w:color w:val="000000"/>
        </w:rPr>
        <w:t xml:space="preserve">,…). Segnalare il proprio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aumenta la visibilità e possibilità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riutilizzo dei dati;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Social Network: se l’Ente gestisce canali sociali come </w:t>
      </w:r>
      <w:proofErr w:type="spellStart"/>
      <w:r w:rsidRPr="00F4397F">
        <w:rPr>
          <w:rFonts w:asciiTheme="minorHAnsi" w:hAnsiTheme="minorHAnsi" w:cs="Segoe UI"/>
          <w:color w:val="000000"/>
        </w:rPr>
        <w:t>Facebook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</w:t>
      </w:r>
      <w:proofErr w:type="spellStart"/>
      <w:r w:rsidRPr="00F4397F">
        <w:rPr>
          <w:rFonts w:asciiTheme="minorHAnsi" w:hAnsiTheme="minorHAnsi" w:cs="Segoe UI"/>
          <w:color w:val="000000"/>
        </w:rPr>
        <w:t>Twitter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</w:t>
      </w:r>
      <w:proofErr w:type="spellStart"/>
      <w:r w:rsidRPr="00F4397F">
        <w:rPr>
          <w:rFonts w:asciiTheme="minorHAnsi" w:hAnsiTheme="minorHAnsi" w:cs="Segoe UI"/>
          <w:color w:val="000000"/>
        </w:rPr>
        <w:t>Linkedin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, </w:t>
      </w:r>
      <w:proofErr w:type="spellStart"/>
      <w:r w:rsidRPr="00F4397F">
        <w:rPr>
          <w:rFonts w:asciiTheme="minorHAnsi" w:hAnsiTheme="minorHAnsi" w:cs="Segoe UI"/>
          <w:color w:val="000000"/>
        </w:rPr>
        <w:t>YouTube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e/o altri social network, è possibile veicolare l’annuncio di apertura (o aggiornamento) dei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dati anche tramite essi;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 xml:space="preserve">Press </w:t>
      </w:r>
      <w:proofErr w:type="spellStart"/>
      <w:r w:rsidRPr="00F4397F">
        <w:rPr>
          <w:rFonts w:asciiTheme="minorHAnsi" w:hAnsiTheme="minorHAnsi" w:cs="Segoe UI"/>
          <w:color w:val="000000"/>
        </w:rPr>
        <w:t>releases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: non tutti 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meritano un comunicato stampa formale da parte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dell’Ente. Ma il Responsabile Open Data potrà eventualmente produrne uno per quei</w:t>
      </w:r>
      <w:r w:rsidR="00802942">
        <w:rPr>
          <w:rFonts w:asciiTheme="minorHAnsi" w:hAnsiTheme="minorHAnsi" w:cs="Segoe UI"/>
          <w:color w:val="00000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 portano un sostanziale valore alla comunità di riferimento, che sono di grande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interesse pubblico, oppure che abbiano suscitato notevole interesse dalla comunità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sviluppo e per il quale ci siano diverse applicazioni funzionanti;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Blog: Se nel Portale Open Data è presente un blog, un post che evidenzia gli obiettivi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strategici e propone alla comunità di riferimento alcune idee sul potenziale di utilizzo dei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55 </w:t>
      </w:r>
      <w:hyperlink r:id="rId21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https://it.wikipedia.org/wiki/Hackathon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56 </w:t>
      </w:r>
      <w:hyperlink r:id="rId22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http://opengovdata.io/2012-02/page/2/civic-hacking-example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57 </w:t>
      </w:r>
      <w:hyperlink r:id="rId23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http://www.appsfordemocracy.org/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58 </w:t>
      </w:r>
      <w:hyperlink r:id="rId24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http://www.appsforitaly.org/shortlist/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59 </w:t>
      </w:r>
      <w:hyperlink r:id="rId25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http://www.opendata.provincia.roma.it/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60 </w:t>
      </w:r>
      <w:hyperlink r:id="rId26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http://it.ckan.net/dataset/new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61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http://www.dati.gov.it/</w:t>
      </w:r>
      <w:proofErr w:type="spellStart"/>
      <w:r w:rsidRPr="00F4397F">
        <w:rPr>
          <w:rFonts w:asciiTheme="minorHAnsi" w:hAnsiTheme="minorHAnsi" w:cs="Calibri"/>
          <w:color w:val="0000FF"/>
          <w:sz w:val="20"/>
          <w:szCs w:val="20"/>
        </w:rPr>
        <w:t>node</w:t>
      </w:r>
      <w:proofErr w:type="spellEnd"/>
      <w:r w:rsidRPr="00F4397F">
        <w:rPr>
          <w:rFonts w:asciiTheme="minorHAnsi" w:hAnsiTheme="minorHAnsi" w:cs="Calibri"/>
          <w:color w:val="0000FF"/>
          <w:sz w:val="20"/>
          <w:szCs w:val="20"/>
        </w:rPr>
        <w:t>/</w:t>
      </w:r>
      <w:proofErr w:type="spellStart"/>
      <w:r w:rsidRPr="00F4397F">
        <w:rPr>
          <w:rFonts w:asciiTheme="minorHAnsi" w:hAnsiTheme="minorHAnsi" w:cs="Calibri"/>
          <w:color w:val="0000FF"/>
          <w:sz w:val="20"/>
          <w:szCs w:val="20"/>
        </w:rPr>
        <w:t>add</w:t>
      </w:r>
      <w:proofErr w:type="spellEnd"/>
      <w:r w:rsidRPr="00F4397F">
        <w:rPr>
          <w:rFonts w:asciiTheme="minorHAnsi" w:hAnsiTheme="minorHAnsi" w:cs="Calibri"/>
          <w:color w:val="0000FF"/>
          <w:sz w:val="20"/>
          <w:szCs w:val="20"/>
        </w:rPr>
        <w:t>/</w:t>
      </w:r>
      <w:proofErr w:type="spellStart"/>
      <w:r w:rsidRPr="00F4397F">
        <w:rPr>
          <w:rFonts w:asciiTheme="minorHAnsi" w:hAnsiTheme="minorHAnsi" w:cs="Calibri"/>
          <w:color w:val="0000FF"/>
          <w:sz w:val="20"/>
          <w:szCs w:val="20"/>
        </w:rPr>
        <w:t>dataset</w:t>
      </w:r>
      <w:proofErr w:type="spellEnd"/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dati può essere pubblicato dal Responsabile Open Data o dallo Staff tecnico/operativo. In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alternativa, contattare cittadini che mantengono blog tematici e avvisarli dei nuovi rilasci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può essere l’inizio per stabilire canali di comunicazione più vicini alle persone e meno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formali;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ymbolMT"/>
          <w:color w:val="000000"/>
        </w:rPr>
        <w:t xml:space="preserve"> </w:t>
      </w:r>
      <w:r w:rsidRPr="00F4397F">
        <w:rPr>
          <w:rFonts w:asciiTheme="minorHAnsi" w:hAnsiTheme="minorHAnsi" w:cs="Segoe UI"/>
          <w:color w:val="000000"/>
        </w:rPr>
        <w:t>Partecipare attivamente all’interno delle comunità Open Data: le comunità Open data sul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web comunicano spesso attraverso mailing </w:t>
      </w:r>
      <w:proofErr w:type="spellStart"/>
      <w:r w:rsidRPr="00F4397F">
        <w:rPr>
          <w:rFonts w:asciiTheme="minorHAnsi" w:hAnsiTheme="minorHAnsi" w:cs="Segoe UI"/>
          <w:color w:val="000000"/>
        </w:rPr>
        <w:t>lists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.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lastRenderedPageBreak/>
        <w:t>La principale in Italia è Spaghetti Open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Data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62 </w:t>
      </w:r>
      <w:r w:rsidRPr="00F4397F">
        <w:rPr>
          <w:rFonts w:asciiTheme="minorHAnsi" w:hAnsiTheme="minorHAnsi" w:cs="Segoe UI"/>
          <w:color w:val="000000"/>
        </w:rPr>
        <w:t xml:space="preserve">che raduna sviluppatori, funzionari pubblici, data </w:t>
      </w:r>
      <w:proofErr w:type="spellStart"/>
      <w:r w:rsidRPr="00F4397F">
        <w:rPr>
          <w:rFonts w:asciiTheme="minorHAnsi" w:hAnsiTheme="minorHAnsi" w:cs="Segoe UI"/>
          <w:color w:val="000000"/>
        </w:rPr>
        <w:t>journalists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 semplici curiosi che si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sono appassionati al tema dei dati aperti. Il Responsabile Open Data (ma possibilmente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anche alcuni membri dello Staff tecnico/operativo) può interagire scrivendo personalmente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alle comunità, aggiornandole gradualmente sul progresso di pubblicazione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mantenimento dei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e aiutando i loro membri con le sue esperienze e l’esperienza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dell’Ente nella gestione dei dati.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>La scelta di quante e quali comunità coinvolgere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partecipare può essere valutata in base a quale sia la relazione attesa con la comunità in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futuro e che tipo di attività possono essere condotte insieme (concorsi, incontri,...), alla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presenza di leader e attivisti che guidano la comunità senza interessi politici,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l’organizzazione di incontri offline che aumentano il senso di appartenenza, ecc. Può essere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anche un modo pratico per mantenersi informati su cosa stanno facendo le altre pubbliche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amministrazioni e quali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stanno aprendo.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4.3 Aggiornamento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Se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analizzato nel processo 4.1 Analisi di aderenza agli obiettivi non risponde pienamente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agli obiettivi iniziali (primariamente perché il contenuto non è più attuale, ma anche rispetto al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piano strategico dell’ente), ma porta ancora valore (è di interesse pubblico, ha una buona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performance di accesso/utilizzo, ci sono applicazioni che lo usano,…) il Responsabile dell’Area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appartenenza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dovrebbe avviare il processo di aggiornamento dei dati, consultando il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per informazioni su cambiamenti nella struttura e contenuti e il Responsabile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Tutela Dati per verificare che non ci siano problemi nell’aggiornamento di eventuali dati personali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trattati prima della pubblicazione.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Il Responsabile Open data e lo Staff tecnico/operativo devono orientarsi verso una soluzione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aggiornamento dei dati che permetta il versionamento</w:t>
      </w:r>
      <w:r w:rsidRPr="00F4397F">
        <w:rPr>
          <w:rFonts w:asciiTheme="minorHAnsi" w:hAnsiTheme="minorHAnsi" w:cs="Segoe UI"/>
          <w:color w:val="000000"/>
          <w:sz w:val="14"/>
          <w:szCs w:val="14"/>
        </w:rPr>
        <w:t xml:space="preserve">63 </w:t>
      </w:r>
      <w:r w:rsidRPr="00F4397F">
        <w:rPr>
          <w:rFonts w:asciiTheme="minorHAnsi" w:hAnsiTheme="minorHAnsi" w:cs="Segoe UI"/>
          <w:color w:val="000000"/>
        </w:rPr>
        <w:t xml:space="preserve">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permettendo agli utenti (ma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soprattutto alle eventuali applicazioni che utilizzano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tramite API) di continuare ad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accedere ai dati della versione precedente, specialmente se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cambia nella sua struttura. È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importante registrare nella checklist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tutti i cambiamenti apportati alla nuova versione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, anche nei metadati (che devono essere anch’essi aggiornati).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62 </w:t>
      </w:r>
      <w:hyperlink r:id="rId27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http://www.spaghettiopendata.org/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63 </w:t>
      </w:r>
      <w:hyperlink r:id="rId28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https://it.wikipedia.org/wiki/Controllo_versione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4.4 Rimozione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Se il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analizzato nel processo 4.1 Analisi di aderenza agli obiettivi non risponde più agli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obiettivi iniziali e si considera che in qualche modo sia obsoleto (ad esempio perché è stato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rilasciato un nuovo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 contiene gli stessi dati ed è più completo) e non porta più valore (o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confonde gli utenti, come nel caso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superato da un nuovo con struttura più completa 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granulare), il Responsabile dell’Area di appartenenza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dovrebbe avviare il processo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dismissione dei dati, all’interno del quale il Responsabile Open Data dovrà considerare tutte 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implicazioni di tale azione (ad esempio che, come un normale servizio, la dismissione di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potrebbe far smettere di funzionare applicazioni che usano le API di accesso ai dati).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lastRenderedPageBreak/>
        <w:t xml:space="preserve">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va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rimosso solo con giusta e motivata causa, registrata sul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checklist, e la dismissione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eventuali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con accesso tramite API va pianificata in anticipo, con rilascio di informazioni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chiare su quali funzioni di accesso ai dati potrebbero smettere di funzionare (v. processo 4.5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Feedback).</w:t>
      </w:r>
      <w:r w:rsidR="00802942">
        <w:rPr>
          <w:rFonts w:asciiTheme="minorHAnsi" w:hAnsiTheme="minorHAnsi" w:cs="Segoe UI"/>
          <w:color w:val="00000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>4.5 Feedback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8"/>
          <w:szCs w:val="28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Segoe UI"/>
          <w:color w:val="000000"/>
        </w:rPr>
        <w:t xml:space="preserve">Cosi come accade dopo la pubblicazione di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(processo 2.17 Feedback), il Responsabile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Open data, con l’immediato supporto dello Staff tecnico/operativo deve dare tempestivo feedback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agli utenti dopo l’aggiornamento di un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esistente (e/o cambiamenti nel modo di accedere ai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dati tramite API) o dopo la dismissione del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>. Tali annunci possono avvenire sotto forma di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pubblicazione di una nota in una sezione specifica del Portale Open Data (pagina “notizie”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“annunci”…).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0"/>
          <w:szCs w:val="20"/>
        </w:rPr>
      </w:pPr>
      <w:r w:rsidRPr="00F4397F">
        <w:rPr>
          <w:rFonts w:asciiTheme="minorHAnsi" w:hAnsiTheme="minorHAnsi" w:cs="Segoe UI"/>
          <w:color w:val="000000"/>
        </w:rPr>
        <w:t>In modo particolare, se l’aggiornamento o rimozione è avvenuta in seguito ad una o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più richieste da parte degli utenti, è necessario rispondere in modo puntuale alla richiesta,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informando dell’avvenuta modifica. Mantenere una buona relazione di comunicazione con gli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utenti che interagiscono con l’Ente tramite il Portale Open Data è uno dei punti chiavi nella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costruzione di una comunità Open Data attiva e partecipativa. Infine, una nota interna sulle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 xml:space="preserve">modifiche apportate può essere emessa al Responsabile dell’Area, al Referente </w:t>
      </w:r>
      <w:proofErr w:type="spellStart"/>
      <w:r w:rsidRPr="00F4397F">
        <w:rPr>
          <w:rFonts w:asciiTheme="minorHAnsi" w:hAnsiTheme="minorHAnsi" w:cs="Segoe UI"/>
          <w:color w:val="00000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</w:rPr>
        <w:t xml:space="preserve"> e al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Pr="00F4397F">
        <w:rPr>
          <w:rFonts w:asciiTheme="minorHAnsi" w:hAnsiTheme="minorHAnsi" w:cs="Segoe UI"/>
          <w:color w:val="000000"/>
        </w:rPr>
        <w:t>Responsabile Tutela Dati, nonché ad altri soggetti potenzialmente interessati all’interno dell’Ente.</w:t>
      </w:r>
      <w:r w:rsidR="00802942">
        <w:rPr>
          <w:rFonts w:asciiTheme="minorHAnsi" w:hAnsiTheme="minorHAnsi" w:cs="Segoe UI"/>
          <w:color w:val="000000"/>
        </w:rPr>
        <w:t xml:space="preserve"> 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i/>
          <w:iCs/>
          <w:color w:val="365F92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i/>
          <w:iCs/>
          <w:color w:val="365F92"/>
          <w:sz w:val="20"/>
          <w:szCs w:val="20"/>
        </w:rPr>
        <w:t>Riferimenti a normative</w:t>
      </w:r>
      <w:r w:rsidR="00802942">
        <w:rPr>
          <w:rFonts w:asciiTheme="minorHAnsi" w:hAnsiTheme="minorHAnsi" w:cs="Segoe UI"/>
          <w:b/>
          <w:bCs/>
          <w:i/>
          <w:iCs/>
          <w:color w:val="365F92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Legge n. 633/1941, Protezione del diritto d'autore e di altri diritti connessi al suo esercizio</w:t>
      </w:r>
      <w:r w:rsidRPr="00F4397F">
        <w:rPr>
          <w:rFonts w:asciiTheme="minorHAnsi" w:hAnsiTheme="minorHAnsi" w:cs="Segoe UI"/>
          <w:b/>
          <w:bCs/>
          <w:color w:val="000000"/>
          <w:sz w:val="13"/>
          <w:szCs w:val="13"/>
        </w:rPr>
        <w:t>64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: regola il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diritto d’autore, la titolarità dei contenuti e dei dati e individua le opere protette dal diritto d'autore, tra le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quali anche le banche dati (database); particolare importanza ai fini dei </w:t>
      </w:r>
      <w:proofErr w:type="spellStart"/>
      <w:r w:rsidRPr="00F4397F">
        <w:rPr>
          <w:rFonts w:asciiTheme="minorHAnsi" w:hAnsiTheme="minorHAnsi" w:cs="Segoe UI"/>
          <w:color w:val="000000"/>
          <w:sz w:val="20"/>
          <w:szCs w:val="20"/>
        </w:rPr>
        <w:t>dataset</w:t>
      </w:r>
      <w:proofErr w:type="spellEnd"/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 ha l’art. 64 </w:t>
      </w:r>
      <w:proofErr w:type="spellStart"/>
      <w:r w:rsidRPr="00F4397F">
        <w:rPr>
          <w:rFonts w:asciiTheme="minorHAnsi" w:hAnsiTheme="minorHAnsi" w:cs="Segoe UI"/>
          <w:color w:val="000000"/>
          <w:sz w:val="20"/>
          <w:szCs w:val="20"/>
        </w:rPr>
        <w:t>quinquies</w:t>
      </w:r>
      <w:proofErr w:type="spellEnd"/>
      <w:r w:rsidRPr="00F4397F">
        <w:rPr>
          <w:rFonts w:asciiTheme="minorHAnsi" w:hAnsiTheme="minorHAnsi" w:cs="Segoe UI"/>
          <w:color w:val="000000"/>
          <w:sz w:val="20"/>
          <w:szCs w:val="20"/>
        </w:rPr>
        <w:t>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Legge n. 241/1990, Nuove norme in materia di procedimento amministrativo e di diritto di accesso ai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documenti amministrativi</w:t>
      </w:r>
      <w:r w:rsidRPr="00F4397F">
        <w:rPr>
          <w:rFonts w:asciiTheme="minorHAnsi" w:hAnsiTheme="minorHAnsi" w:cs="Segoe UI"/>
          <w:b/>
          <w:bCs/>
          <w:color w:val="000000"/>
          <w:sz w:val="13"/>
          <w:szCs w:val="13"/>
        </w:rPr>
        <w:t>65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: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evidenzia che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"l'attività amministrativa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(...)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è retta da criteri di economicità, di</w:t>
      </w:r>
      <w:r w:rsidR="00802942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efficacia, di imparzialità, di pubblicità e di trasparenza"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e stabilisce il diritto d’accesso a qualsiasi atto del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procedimento amministrativo purché la richiesta d’accesso sia opportunamente giustificata da un interesse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specifico; è la legge base sull’accesso agli atti pubblici, ai documenti di un procedimento e a tutta la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documentazione rilevante per il procedimento stesso (atti </w:t>
      </w:r>
      <w:proofErr w:type="spellStart"/>
      <w:r w:rsidRPr="00F4397F">
        <w:rPr>
          <w:rFonts w:asciiTheme="minorHAnsi" w:hAnsiTheme="minorHAnsi" w:cs="Segoe UI"/>
          <w:color w:val="000000"/>
          <w:sz w:val="20"/>
          <w:szCs w:val="20"/>
        </w:rPr>
        <w:t>endoprocedimentali</w:t>
      </w:r>
      <w:proofErr w:type="spellEnd"/>
      <w:r w:rsidRPr="00F4397F">
        <w:rPr>
          <w:rFonts w:asciiTheme="minorHAnsi" w:hAnsiTheme="minorHAnsi" w:cs="Segoe UI"/>
          <w:color w:val="000000"/>
          <w:sz w:val="20"/>
          <w:szCs w:val="20"/>
        </w:rPr>
        <w:t>). Va rilevato che il titolare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dell’accesso a questi documenti e ai dati in esso contenuti è chi ha il diritto e/o l’interesse legittimo da far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valere sul provvedimento.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Decreto legislativo n. 196 del 30 giugno 2003, Codice in materia di protezione dei dati personali</w:t>
      </w:r>
      <w:r w:rsidRPr="00F4397F">
        <w:rPr>
          <w:rFonts w:asciiTheme="minorHAnsi" w:hAnsiTheme="minorHAnsi" w:cs="Segoe UI"/>
          <w:b/>
          <w:bCs/>
          <w:color w:val="000000"/>
          <w:sz w:val="13"/>
          <w:szCs w:val="13"/>
        </w:rPr>
        <w:t>66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: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riconosce il diritto del singolo sui propri dati personali e regola le diverse operazioni di trattamento dei dati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riguardanti la raccolta, l'elaborazione, il raffronto, la cancellazione, la modifica, la comunicazione e la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diffusione degli stessi; ha grande rilevanza nella gestione dei progetti Open Data perché fortemente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impattata dall’esigenza di tutelare i diritti dei singoli, a tal punto che la verifica dell’ottemperanza a questa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legge va affidata ad un processo specifico tracciabile e trasparente.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Decreto legislativo n. 82 del 7 marzo 2005, Codice dell'Amministrazione Digitale</w:t>
      </w:r>
      <w:r w:rsidRPr="00F4397F">
        <w:rPr>
          <w:rFonts w:asciiTheme="minorHAnsi" w:hAnsiTheme="minorHAnsi" w:cs="Segoe UI"/>
          <w:b/>
          <w:bCs/>
          <w:color w:val="000000"/>
          <w:sz w:val="13"/>
          <w:szCs w:val="13"/>
        </w:rPr>
        <w:t>67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: introduce il principio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di "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disponibilità dei dati pubblici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" consistente nella possibilità, per soggetti pubblici e privati, "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di accedere ai</w:t>
      </w:r>
      <w:r w:rsidR="00802942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dati senza restrizioni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"; è la base legislativa, soggetta tuttora a modifiche e integrazioni, per le Open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  <w:sz w:val="20"/>
          <w:szCs w:val="20"/>
        </w:rPr>
        <w:t>Government</w:t>
      </w:r>
      <w:proofErr w:type="spellEnd"/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  <w:sz w:val="20"/>
          <w:szCs w:val="20"/>
        </w:rPr>
        <w:t>Policies</w:t>
      </w:r>
      <w:proofErr w:type="spellEnd"/>
      <w:r w:rsidRPr="00F4397F">
        <w:rPr>
          <w:rFonts w:asciiTheme="minorHAnsi" w:hAnsiTheme="minorHAnsi" w:cs="Segoe UI"/>
          <w:color w:val="000000"/>
          <w:sz w:val="20"/>
          <w:szCs w:val="20"/>
        </w:rPr>
        <w:t>. Su questa base sono stati costruiti i successivi provvedimenti legislativi compresi quelli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sugli Open Data.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lastRenderedPageBreak/>
        <w:t>Decreto legislativo n. 36 del 24 gennaio 2006, Attuazione della direttiva 2003/98/CE relativa al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riutilizzo di documenti nel settore pubblico</w:t>
      </w:r>
      <w:r w:rsidRPr="00F4397F">
        <w:rPr>
          <w:rFonts w:asciiTheme="minorHAnsi" w:hAnsiTheme="minorHAnsi" w:cs="Calibri"/>
          <w:b/>
          <w:bCs/>
          <w:color w:val="000000"/>
          <w:sz w:val="13"/>
          <w:szCs w:val="13"/>
        </w:rPr>
        <w:t>68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: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attribuisce a ciascuna Amministrazione la possibilità di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autorizzare il riutilizzo delle informazioni che vengono raccolte, prodotte, e diffuse nell’ambito del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perseguimento dei propri compiti istituzionali; la Direttiva Europea citata pone l’accento soprattutto sulla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funzione di volano economico della disponibilità dei dati pubblici.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Decreto legislativo n. 150 del 27 ottobre 2009, Attuazione della legge 4 marzo 2009, n. 15, in materia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di ottimizzazione della produttività del lavoro pubblico e di efficienza e trasparenza delle pubbliche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4"/>
          <w:szCs w:val="14"/>
        </w:rPr>
        <w:t xml:space="preserve">64 </w:t>
      </w:r>
      <w:hyperlink r:id="rId29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http://www.interlex.it/testi/l41_633.htm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65 </w:t>
      </w:r>
      <w:hyperlink r:id="rId30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http://www.normattiva.it/uri-res/N2Ls?urn:nir:stato:legge:1990-08-07;241!vig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66 </w:t>
      </w:r>
      <w:hyperlink r:id="rId31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http://www.normattiva.it/uri-res/N2Ls?urn:nir:stato:decreto.legislativo:2003-06-30;196!vig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67 </w:t>
      </w:r>
      <w:hyperlink r:id="rId32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http://www.normattiva.it/uri-res/N2Ls?urn:nir:stato:decreto.legislativo:2005-03-07;82!vig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color w:val="000000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68 </w:t>
      </w:r>
      <w:hyperlink r:id="rId33" w:history="1">
        <w:r w:rsidRPr="00F4397F">
          <w:rPr>
            <w:rStyle w:val="Collegamentoipertestuale"/>
            <w:rFonts w:asciiTheme="minorHAnsi" w:hAnsiTheme="minorHAnsi" w:cs="Calibri"/>
            <w:sz w:val="20"/>
            <w:szCs w:val="20"/>
          </w:rPr>
          <w:t>http://www.normattiva.it/uri-res/N2Ls?urn:nir:stato:decreto.legislativo:2006-01-24;36!vig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amministrazioni</w:t>
      </w:r>
      <w:r w:rsidRPr="00F4397F">
        <w:rPr>
          <w:rFonts w:asciiTheme="minorHAnsi" w:hAnsiTheme="minorHAnsi" w:cs="Segoe UI"/>
          <w:b/>
          <w:bCs/>
          <w:color w:val="000000"/>
          <w:sz w:val="13"/>
          <w:szCs w:val="13"/>
        </w:rPr>
        <w:t>69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: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non è un provvedimento specifico sugli Open Data, ma, introducendo misure di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efficienza e trasparenza nella Pubblica Amministrazione, inserisce le attività di diffusione e messa 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disposizione dei dati pubblici, tra quelle oggetto di valutazione della performance di Dirigenti e quadri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direttivi delle Amministrazioni.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i/>
          <w:iCs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Deliberazione </w:t>
      </w:r>
      <w:proofErr w:type="spellStart"/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Civit</w:t>
      </w:r>
      <w:proofErr w:type="spellEnd"/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n. 105/2010</w:t>
      </w:r>
      <w:r w:rsidRPr="00F4397F">
        <w:rPr>
          <w:rFonts w:asciiTheme="minorHAnsi" w:hAnsiTheme="minorHAnsi" w:cs="Segoe UI"/>
          <w:b/>
          <w:bCs/>
          <w:color w:val="000000"/>
          <w:sz w:val="13"/>
          <w:szCs w:val="13"/>
        </w:rPr>
        <w:t>70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, Commissione per la Valutazione, la Trasparenza e l'Integrità delle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amministrazioni pubbliche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: in applicazione del D. </w:t>
      </w:r>
      <w:proofErr w:type="spellStart"/>
      <w:r w:rsidRPr="00F4397F">
        <w:rPr>
          <w:rFonts w:asciiTheme="minorHAnsi" w:hAnsiTheme="minorHAnsi" w:cs="Segoe UI"/>
          <w:color w:val="000000"/>
          <w:sz w:val="20"/>
          <w:szCs w:val="20"/>
        </w:rPr>
        <w:t>Lgs</w:t>
      </w:r>
      <w:proofErr w:type="spellEnd"/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 150, fornisce alla P.A. le linee guida per la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predisposizione del Programma Triennale per la trasparenza e integrità delle attività della Pubblica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Amministrazione; all’interno di tale programma ci sono le attività gestionali relative agli Open Data e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"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l'accesso da parte dell'intera collettività a tutte le informazioni pubbliche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", secondo il paradigma della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libertà</w:t>
      </w:r>
      <w:r w:rsidR="00802942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di informazione dell'Open Government</w:t>
      </w:r>
      <w:r w:rsidRPr="00F4397F">
        <w:rPr>
          <w:rFonts w:asciiTheme="minorHAnsi" w:hAnsiTheme="minorHAnsi" w:cs="Segoe UI"/>
          <w:i/>
          <w:iCs/>
          <w:color w:val="000000"/>
          <w:sz w:val="13"/>
          <w:szCs w:val="13"/>
        </w:rPr>
        <w:t>71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.</w:t>
      </w:r>
    </w:p>
    <w:p w:rsidR="001245CE" w:rsidRDefault="00802942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="00F4397F"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Decreto legislativo n. 235 del 30 dicembre 2010, Riforma del Codice dell'Amministrazione Digitale</w:t>
      </w:r>
      <w:r w:rsidR="00F4397F" w:rsidRPr="00F4397F">
        <w:rPr>
          <w:rFonts w:asciiTheme="minorHAnsi" w:hAnsiTheme="minorHAnsi" w:cs="Segoe UI"/>
          <w:b/>
          <w:bCs/>
          <w:color w:val="000000"/>
          <w:sz w:val="13"/>
          <w:szCs w:val="13"/>
        </w:rPr>
        <w:t>72</w:t>
      </w:r>
      <w:r w:rsidR="00F4397F" w:rsidRPr="00F4397F">
        <w:rPr>
          <w:rFonts w:asciiTheme="minorHAnsi" w:hAnsiTheme="minorHAnsi" w:cs="Segoe UI"/>
          <w:color w:val="000000"/>
          <w:sz w:val="20"/>
          <w:szCs w:val="20"/>
        </w:rPr>
        <w:t>:</w:t>
      </w:r>
      <w:r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="00F4397F" w:rsidRPr="00F4397F">
        <w:rPr>
          <w:rFonts w:asciiTheme="minorHAnsi" w:hAnsiTheme="minorHAnsi" w:cs="Segoe UI"/>
          <w:color w:val="000000"/>
          <w:sz w:val="20"/>
          <w:szCs w:val="20"/>
        </w:rPr>
        <w:t>recepisce espressamente la dottrina dell'Open Data sollecitando le Amministrazioni, “</w:t>
      </w:r>
      <w:r w:rsidR="00F4397F"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al fine di valorizzare e</w:t>
      </w:r>
      <w:r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="00F4397F"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rendere fruibili i dati pubblici di cui sono titolari</w:t>
      </w:r>
      <w:r w:rsidR="00F4397F" w:rsidRPr="00F4397F">
        <w:rPr>
          <w:rFonts w:asciiTheme="minorHAnsi" w:hAnsiTheme="minorHAnsi" w:cs="Segoe UI"/>
          <w:color w:val="000000"/>
          <w:sz w:val="20"/>
          <w:szCs w:val="20"/>
        </w:rPr>
        <w:t>”, ad aprire il proprio patrimonio informativo con “</w:t>
      </w:r>
      <w:r w:rsidR="00F4397F"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progetti di</w:t>
      </w:r>
      <w:r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="00F4397F"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elaborazione e di diffusione degli stessi anche attraverso l’uso di strumenti di finanza di progetto</w:t>
      </w:r>
      <w:r w:rsidR="00F4397F" w:rsidRPr="00F4397F">
        <w:rPr>
          <w:rFonts w:asciiTheme="minorHAnsi" w:hAnsiTheme="minorHAnsi" w:cs="Segoe UI"/>
          <w:color w:val="000000"/>
          <w:sz w:val="20"/>
          <w:szCs w:val="20"/>
        </w:rPr>
        <w:t>”; è il</w:t>
      </w:r>
      <w:r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="00F4397F" w:rsidRPr="00F4397F">
        <w:rPr>
          <w:rFonts w:asciiTheme="minorHAnsi" w:hAnsiTheme="minorHAnsi" w:cs="Segoe UI"/>
          <w:color w:val="000000"/>
          <w:sz w:val="20"/>
          <w:szCs w:val="20"/>
        </w:rPr>
        <w:t xml:space="preserve">completamento e l’integrazione alla versione del </w:t>
      </w:r>
      <w:proofErr w:type="spellStart"/>
      <w:r w:rsidR="00F4397F" w:rsidRPr="00F4397F">
        <w:rPr>
          <w:rFonts w:asciiTheme="minorHAnsi" w:hAnsiTheme="minorHAnsi" w:cs="Segoe UI"/>
          <w:color w:val="000000"/>
          <w:sz w:val="20"/>
          <w:szCs w:val="20"/>
        </w:rPr>
        <w:t>D.Lgs.</w:t>
      </w:r>
      <w:proofErr w:type="spellEnd"/>
      <w:r w:rsidR="00F4397F" w:rsidRPr="00F4397F">
        <w:rPr>
          <w:rFonts w:asciiTheme="minorHAnsi" w:hAnsiTheme="minorHAnsi" w:cs="Segoe UI"/>
          <w:color w:val="000000"/>
          <w:sz w:val="20"/>
          <w:szCs w:val="20"/>
        </w:rPr>
        <w:t xml:space="preserve"> 82/2005.</w:t>
      </w:r>
      <w:r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Regione Lazio - </w:t>
      </w:r>
      <w:proofErr w:type="spellStart"/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L.R.</w:t>
      </w:r>
      <w:proofErr w:type="spellEnd"/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n. 7 del 18/06/2012, “Disposizioni in materia di dati aperti e riutilizzo di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informazioni e dati pubblici e iniziative connesse”</w:t>
      </w:r>
      <w:r w:rsidRPr="00F4397F">
        <w:rPr>
          <w:rFonts w:asciiTheme="minorHAnsi" w:hAnsiTheme="minorHAnsi" w:cs="Segoe UI"/>
          <w:b/>
          <w:bCs/>
          <w:color w:val="000000"/>
          <w:sz w:val="13"/>
          <w:szCs w:val="13"/>
        </w:rPr>
        <w:t>73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: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stabilisce che, escludendo la categorie di dati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ritenute non riutilizzabili, le istituzioni e gli enti titolari dei dati devono pubblicare attraverso il web il proprio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patrimonio d'informazioni, affinché possa essere riutilizzato. Si rimanda al regolamento di attuazione la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definizione delle condizioni per il riutilizzo, le licenze d'uso e i casi in cui sia giustificata l'applicazione di una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tariffa e l'importo della stessa.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Legge n. 221/2012, conversione in legge, con modificazioni, del Decreto legge n. 179 del 18 Ottobre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2012, Decreto Crescita 2.0</w:t>
      </w:r>
      <w:r w:rsidRPr="00F4397F">
        <w:rPr>
          <w:rFonts w:asciiTheme="minorHAnsi" w:hAnsiTheme="minorHAnsi" w:cs="Segoe UI"/>
          <w:b/>
          <w:bCs/>
          <w:color w:val="000000"/>
          <w:sz w:val="13"/>
          <w:szCs w:val="13"/>
        </w:rPr>
        <w:t>74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: delinea nella Sezione II "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Amministrazione digitale e dati di tipo aperto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" e nella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Sezione VII "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Comunità Intelligenti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" le condotte da intraprendere per la pubblicazione di dati di interesse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pubblico e indica l'Agenzia per l'Italia Digitale</w:t>
      </w:r>
      <w:r w:rsidRPr="00F4397F">
        <w:rPr>
          <w:rFonts w:asciiTheme="minorHAnsi" w:hAnsiTheme="minorHAnsi" w:cs="Segoe UI"/>
          <w:color w:val="000000"/>
          <w:sz w:val="13"/>
          <w:szCs w:val="13"/>
        </w:rPr>
        <w:t xml:space="preserve">75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come riferimento tecnico per la stesura delle linee guida.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b/>
          <w:bCs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Decreto legislativo n. 33 del 14 marzo 2013, Riordino della disciplina riguardante gli obblighi di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pubblicità, trasparenza e diffusione di informazioni da parte delle pubbliche amministrazioni</w:t>
      </w:r>
      <w:r w:rsidRPr="00F4397F">
        <w:rPr>
          <w:rFonts w:asciiTheme="minorHAnsi" w:hAnsiTheme="minorHAnsi" w:cs="Calibri"/>
          <w:b/>
          <w:bCs/>
          <w:color w:val="000000"/>
          <w:sz w:val="13"/>
          <w:szCs w:val="13"/>
        </w:rPr>
        <w:t>76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: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lastRenderedPageBreak/>
        <w:t xml:space="preserve">69 </w:t>
      </w:r>
      <w:hyperlink r:id="rId34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http://www.normattiva.it/uri-res/N2Ls?urn:nir:stato:decreto.legislativo:2009-10-27;150!vig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70 </w:t>
      </w:r>
      <w:hyperlink r:id="rId35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http://www.civit.it/?p=2182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71 </w:t>
      </w:r>
      <w:hyperlink r:id="rId36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https://it.wikipedia.org/wiki/Open_government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72 </w:t>
      </w:r>
      <w:hyperlink r:id="rId37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http://www.normattiva.it/uri-res/N2Ls?urn:nir:stato:decreto.legislativo:2010-12-30;235!vig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73</w:t>
      </w:r>
      <w:r w:rsidR="00802942">
        <w:rPr>
          <w:rFonts w:asciiTheme="minorHAnsi" w:hAnsiTheme="minorHAnsi" w:cs="Calibri"/>
          <w:color w:val="000000"/>
          <w:sz w:val="13"/>
          <w:szCs w:val="13"/>
        </w:rPr>
        <w:t xml:space="preserve"> 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http://burl.ipzs.it/atto/ricercaArticoli;jsessionid=B05D781314F2CA00528B275F97307215?articoloSelezionato=0&amp;data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=2012-06-28&amp;numero=12024001&amp;tipo=12&amp;testoDaEvidenziare=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74 </w:t>
      </w:r>
      <w:hyperlink r:id="rId38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http://www.normattiva.it/uri-res/N2Ls?urn:nir:stato:legge:2012;221!vig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75 </w:t>
      </w:r>
      <w:hyperlink r:id="rId39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http://www.digitpa.gov.it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>76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http://www.normattiva.it/uri-res/N2Ls?urn:nir:stato:decreto.legislativo:2013-03-14;33</w:t>
      </w:r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color w:val="000000"/>
          <w:sz w:val="20"/>
          <w:szCs w:val="20"/>
        </w:rPr>
        <w:t>effettua una chiara distinzione tra dati soggetti a pubblicazione obbligatoria (art. 3) “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Tutti i documenti, le</w:t>
      </w:r>
      <w:r w:rsidR="00802942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informazioni e i dati oggetto di pubblicazione obbligatoria ai sensi della normativa vigente sono pubblici e</w:t>
      </w:r>
      <w:r w:rsidR="00802942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chiunque ha diritto di conoscerli, di fruirne gratuitamente, e di utilizzarli e riutilizzarli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” e dati assoggettabili 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pubblicazione facoltativa (art. 4, comma 3) “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Le pubbliche amministrazioni possono disporre la pubblicazione</w:t>
      </w:r>
      <w:r w:rsidR="00802942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nel proprio sito istituzionale di dati, informazioni e documenti che non hanno l'obbligo di pubblicare ai sensi del</w:t>
      </w:r>
      <w:r w:rsidR="00802942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presente decreto o sulla base di specifica previsione di legge o regolamento, fermi restando i limiti e le</w:t>
      </w:r>
      <w:r w:rsidR="00802942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condizioni espressamente previsti da disposizioni di legge, procedendo alla </w:t>
      </w:r>
      <w:proofErr w:type="spellStart"/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anonimizzazione</w:t>
      </w:r>
      <w:proofErr w:type="spellEnd"/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dei dati personali</w:t>
      </w:r>
      <w:r w:rsidR="00802942">
        <w:rPr>
          <w:rFonts w:asciiTheme="minorHAnsi" w:hAnsiTheme="minorHAnsi" w:cs="Segoe UI"/>
          <w:i/>
          <w:i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i/>
          <w:iCs/>
          <w:color w:val="000000"/>
          <w:sz w:val="20"/>
          <w:szCs w:val="20"/>
        </w:rPr>
        <w:t>eventualmente presenti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”.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Direttiva 2013/37/UE che modifica la direttiva 2003/98/CE relativa al riutilizzo dell’informazione del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settore pubblico</w:t>
      </w:r>
      <w:r w:rsidRPr="00F4397F">
        <w:rPr>
          <w:rFonts w:asciiTheme="minorHAnsi" w:hAnsiTheme="minorHAnsi" w:cs="Segoe UI"/>
          <w:b/>
          <w:bCs/>
          <w:color w:val="000000"/>
          <w:sz w:val="13"/>
          <w:szCs w:val="13"/>
        </w:rPr>
        <w:t>77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: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prevede che entro il 18 luglio 2015 gli Stati membri adottino e pubblichino le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disposizioni legislative, regolamentari e amministrative necessarie per conformarsi a quanto disposto dalla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nuova direttiva, in particolare al diritto al riuso delle informazioni del settore pubblico (nel quale tutti i dati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pubblici non coperti da particolari elementi di eccezionalità dovranno essere riutilizzabili liberamente) e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l’inclusione nella Direttiva delle informazioni prodotte dalle istituzioni culturali come i musei, le biblioteche o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gli archivi.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Deliberazione dell’Autorità Garante della Privacy n. 88/2011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contenente le 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Linee guida in materia di</w:t>
      </w:r>
      <w:r w:rsidR="00802942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trattamento di dati personali</w:t>
      </w:r>
      <w:r w:rsidRPr="00F4397F">
        <w:rPr>
          <w:rFonts w:asciiTheme="minorHAnsi" w:hAnsiTheme="minorHAnsi" w:cs="Calibri"/>
          <w:b/>
          <w:bCs/>
          <w:color w:val="000000"/>
          <w:sz w:val="13"/>
          <w:szCs w:val="13"/>
        </w:rPr>
        <w:t>78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,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contenuti in atti e documenti amministrativi, effettuato da soggetti pubblici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per finalità di pubblicazione e diffusione sul Web La Deliberazione, determina l’ambito delle disposizioni in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essa contenute e ne esemplifica anche l’applicabilità. La deliberazione è attualmente un punto fermo nella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valutazione dell’equilibrio tra le esigenze di trasparenza e di protezione dei dati personali.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Linee guida per i siti web della P.A.,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edizione 2011</w:t>
      </w:r>
      <w:r w:rsidRPr="00F4397F">
        <w:rPr>
          <w:rFonts w:asciiTheme="minorHAnsi" w:hAnsiTheme="minorHAnsi" w:cs="Segoe UI"/>
          <w:b/>
          <w:bCs/>
          <w:color w:val="000000"/>
          <w:sz w:val="13"/>
          <w:szCs w:val="13"/>
        </w:rPr>
        <w:t xml:space="preserve">79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del Ministero della Pubblica Amministrazione e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l’Innovazione.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Vademecum per l’Open Data</w:t>
      </w:r>
      <w:r w:rsidRPr="00F4397F">
        <w:rPr>
          <w:rFonts w:asciiTheme="minorHAnsi" w:hAnsiTheme="minorHAnsi" w:cs="Calibri"/>
          <w:b/>
          <w:bCs/>
          <w:color w:val="000000"/>
          <w:sz w:val="13"/>
          <w:szCs w:val="13"/>
        </w:rPr>
        <w:t>80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>, pubblicato dal Ministero per la Pubblica Amministrazione e l’Innovazione.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Guida “Come si fa Open Data?”</w:t>
      </w:r>
      <w:r w:rsidRPr="00F4397F">
        <w:rPr>
          <w:rFonts w:asciiTheme="minorHAnsi" w:hAnsiTheme="minorHAnsi" w:cs="Calibri"/>
          <w:b/>
          <w:bCs/>
          <w:color w:val="000000"/>
          <w:sz w:val="13"/>
          <w:szCs w:val="13"/>
        </w:rPr>
        <w:t>81</w:t>
      </w: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, 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versione 2.0, curata dalla Associazione per l’Open </w:t>
      </w:r>
      <w:proofErr w:type="spellStart"/>
      <w:r w:rsidRPr="00F4397F">
        <w:rPr>
          <w:rFonts w:asciiTheme="minorHAnsi" w:hAnsiTheme="minorHAnsi" w:cs="Segoe UI"/>
          <w:color w:val="000000"/>
          <w:sz w:val="20"/>
          <w:szCs w:val="20"/>
        </w:rPr>
        <w:t>Government</w:t>
      </w:r>
      <w:proofErr w:type="spellEnd"/>
      <w:r w:rsidRPr="00F4397F">
        <w:rPr>
          <w:rFonts w:asciiTheme="minorHAnsi" w:hAnsiTheme="minorHAnsi" w:cs="Segoe UI"/>
          <w:color w:val="000000"/>
          <w:sz w:val="20"/>
          <w:szCs w:val="20"/>
        </w:rPr>
        <w:t>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  <w:sz w:val="20"/>
          <w:szCs w:val="20"/>
        </w:rPr>
      </w:pPr>
      <w:r w:rsidRPr="00F4397F">
        <w:rPr>
          <w:rFonts w:asciiTheme="minorHAnsi" w:hAnsiTheme="minorHAnsi" w:cs="Segoe UI"/>
          <w:b/>
          <w:bCs/>
          <w:color w:val="000000"/>
          <w:sz w:val="20"/>
          <w:szCs w:val="20"/>
        </w:rPr>
        <w:t>Manuale degli Open Data</w:t>
      </w:r>
      <w:r w:rsidRPr="00F4397F">
        <w:rPr>
          <w:rFonts w:asciiTheme="minorHAnsi" w:hAnsiTheme="minorHAnsi" w:cs="Calibri"/>
          <w:b/>
          <w:bCs/>
          <w:color w:val="000000"/>
          <w:sz w:val="13"/>
          <w:szCs w:val="13"/>
        </w:rPr>
        <w:t>82</w:t>
      </w:r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, curato dall'Open </w:t>
      </w:r>
      <w:proofErr w:type="spellStart"/>
      <w:r w:rsidRPr="00F4397F">
        <w:rPr>
          <w:rFonts w:asciiTheme="minorHAnsi" w:hAnsiTheme="minorHAnsi" w:cs="Segoe UI"/>
          <w:color w:val="000000"/>
          <w:sz w:val="20"/>
          <w:szCs w:val="20"/>
        </w:rPr>
        <w:t>Knowledge</w:t>
      </w:r>
      <w:proofErr w:type="spellEnd"/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proofErr w:type="spellStart"/>
      <w:r w:rsidRPr="00F4397F">
        <w:rPr>
          <w:rFonts w:asciiTheme="minorHAnsi" w:hAnsiTheme="minorHAnsi" w:cs="Segoe UI"/>
          <w:color w:val="000000"/>
          <w:sz w:val="20"/>
          <w:szCs w:val="20"/>
        </w:rPr>
        <w:t>Foundation</w:t>
      </w:r>
      <w:proofErr w:type="spellEnd"/>
      <w:r w:rsidRPr="00F4397F">
        <w:rPr>
          <w:rFonts w:asciiTheme="minorHAnsi" w:hAnsiTheme="minorHAnsi" w:cs="Segoe UI"/>
          <w:color w:val="000000"/>
          <w:sz w:val="20"/>
          <w:szCs w:val="20"/>
        </w:rPr>
        <w:t xml:space="preserve"> Italia.</w:t>
      </w:r>
      <w:r w:rsidR="00802942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4"/>
          <w:szCs w:val="14"/>
        </w:rPr>
        <w:t xml:space="preserve">77 </w:t>
      </w:r>
      <w:hyperlink r:id="rId40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http://eur-lex.europa.eu/LexUriServ/LexUriServ.do?uri=OJ:L:2013:175:0001:0008:IT:PDF</w:t>
        </w:r>
      </w:hyperlink>
      <w:r w:rsidR="0080294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78 </w:t>
      </w:r>
      <w:hyperlink r:id="rId41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http://www.garanteprivacy.it/web/guest/home/docweb/-/docweb-display/docweb/1793203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4"/>
          <w:szCs w:val="14"/>
        </w:rPr>
        <w:lastRenderedPageBreak/>
        <w:t xml:space="preserve">79 </w:t>
      </w:r>
      <w:hyperlink r:id="rId42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http://www.funzionepubblica.gov.it/lazione-del-ministro/linee-guida-siti-web-pa.aspx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80 </w:t>
      </w:r>
      <w:hyperlink r:id="rId43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http://www.funzionepubblica.gov.it/media/982175/vademecumopendata.pdf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1245CE" w:rsidRDefault="00F4397F" w:rsidP="00522951">
      <w:pPr>
        <w:spacing w:after="200" w:line="276" w:lineRule="auto"/>
        <w:jc w:val="both"/>
        <w:rPr>
          <w:rFonts w:asciiTheme="minorHAnsi" w:hAnsiTheme="minorHAnsi" w:cs="Calibri"/>
          <w:color w:val="0000FF"/>
          <w:sz w:val="20"/>
          <w:szCs w:val="2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81 </w:t>
      </w:r>
      <w:hyperlink r:id="rId44" w:history="1">
        <w:r w:rsidR="001245CE" w:rsidRPr="004F7D36">
          <w:rPr>
            <w:rStyle w:val="Collegamentoipertestuale"/>
            <w:rFonts w:asciiTheme="minorHAnsi" w:hAnsiTheme="minorHAnsi" w:cs="Calibri"/>
            <w:sz w:val="20"/>
            <w:szCs w:val="20"/>
          </w:rPr>
          <w:t>http://www.scribd.com/doc/55159307/Come-Si-Fa-Opendata-Ver-2</w:t>
        </w:r>
      </w:hyperlink>
      <w:r w:rsidR="00802942">
        <w:rPr>
          <w:rFonts w:asciiTheme="minorHAnsi" w:hAnsiTheme="minorHAnsi" w:cs="Calibri"/>
          <w:color w:val="0000FF"/>
          <w:sz w:val="20"/>
          <w:szCs w:val="20"/>
        </w:rPr>
        <w:t xml:space="preserve"> </w:t>
      </w:r>
    </w:p>
    <w:p w:rsidR="00F4397F" w:rsidRPr="00A9005B" w:rsidRDefault="00F4397F" w:rsidP="00522951">
      <w:pPr>
        <w:spacing w:after="200" w:line="276" w:lineRule="auto"/>
        <w:jc w:val="both"/>
        <w:rPr>
          <w:rFonts w:asciiTheme="minorHAnsi" w:hAnsiTheme="minorHAnsi" w:cs="Segoe UI"/>
          <w:color w:val="000000"/>
        </w:rPr>
      </w:pPr>
      <w:r w:rsidRPr="00F4397F">
        <w:rPr>
          <w:rFonts w:asciiTheme="minorHAnsi" w:hAnsiTheme="minorHAnsi" w:cs="Calibri"/>
          <w:color w:val="000000"/>
          <w:sz w:val="13"/>
          <w:szCs w:val="13"/>
        </w:rPr>
        <w:t xml:space="preserve">82 </w:t>
      </w:r>
      <w:r w:rsidRPr="00F4397F">
        <w:rPr>
          <w:rFonts w:asciiTheme="minorHAnsi" w:hAnsiTheme="minorHAnsi" w:cs="Calibri"/>
          <w:color w:val="0000FF"/>
          <w:sz w:val="20"/>
          <w:szCs w:val="20"/>
        </w:rPr>
        <w:t>http://opendatahandbook.org/it/index.html</w:t>
      </w:r>
    </w:p>
    <w:sectPr w:rsidR="00F4397F" w:rsidRPr="00A9005B" w:rsidSect="00CF603D">
      <w:headerReference w:type="default" r:id="rId45"/>
      <w:footerReference w:type="default" r:id="rId46"/>
      <w:pgSz w:w="11906" w:h="16838"/>
      <w:pgMar w:top="115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1C" w:rsidRDefault="0010791C" w:rsidP="00E13B1A">
      <w:pPr>
        <w:spacing w:after="0" w:line="240" w:lineRule="auto"/>
      </w:pPr>
      <w:r>
        <w:separator/>
      </w:r>
    </w:p>
  </w:endnote>
  <w:endnote w:type="continuationSeparator" w:id="0">
    <w:p w:rsidR="0010791C" w:rsidRDefault="0010791C" w:rsidP="00E1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5B" w:rsidRDefault="00A9005B" w:rsidP="0068655B">
    <w:pPr>
      <w:pStyle w:val="Pidipagina"/>
      <w:jc w:val="center"/>
      <w:rPr>
        <w:i/>
        <w:sz w:val="20"/>
        <w:szCs w:val="20"/>
      </w:rPr>
    </w:pPr>
    <w:r w:rsidRPr="00E24B6C">
      <w:rPr>
        <w:i/>
        <w:sz w:val="20"/>
        <w:szCs w:val="20"/>
      </w:rPr>
      <w:t>Palazzo San Giorgio</w:t>
    </w:r>
    <w:r>
      <w:rPr>
        <w:i/>
        <w:sz w:val="20"/>
        <w:szCs w:val="20"/>
      </w:rPr>
      <w:t xml:space="preserve"> </w:t>
    </w:r>
    <w:r w:rsidRPr="00E24B6C">
      <w:rPr>
        <w:i/>
        <w:sz w:val="20"/>
        <w:szCs w:val="20"/>
      </w:rPr>
      <w:t>–  Piazza Italia – Reggio Calabria</w:t>
    </w:r>
  </w:p>
  <w:p w:rsidR="00A9005B" w:rsidRDefault="00A9005B" w:rsidP="0068655B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Tel.</w:t>
    </w:r>
    <w:r w:rsidRPr="00426E11">
      <w:rPr>
        <w:rFonts w:ascii="Times New Roman" w:hAnsi="Times New Roman" w:cs="Times New Roman"/>
        <w:i/>
        <w:sz w:val="20"/>
        <w:szCs w:val="20"/>
      </w:rPr>
      <w:t>: 0965 362111</w:t>
    </w:r>
  </w:p>
  <w:p w:rsidR="00A9005B" w:rsidRDefault="00A900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1C" w:rsidRDefault="0010791C" w:rsidP="00E13B1A">
      <w:pPr>
        <w:spacing w:after="0" w:line="240" w:lineRule="auto"/>
      </w:pPr>
      <w:r>
        <w:separator/>
      </w:r>
    </w:p>
  </w:footnote>
  <w:footnote w:type="continuationSeparator" w:id="0">
    <w:p w:rsidR="0010791C" w:rsidRDefault="0010791C" w:rsidP="00E1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5B" w:rsidRPr="00A55A5C" w:rsidRDefault="00A9005B" w:rsidP="00E13B1A">
    <w:pPr>
      <w:spacing w:after="0" w:line="240" w:lineRule="auto"/>
      <w:jc w:val="center"/>
    </w:pPr>
    <w:r w:rsidRPr="0068655B">
      <w:rPr>
        <w:noProof/>
        <w:lang w:eastAsia="it-IT"/>
      </w:rPr>
      <w:drawing>
        <wp:inline distT="0" distB="0" distL="0" distR="0">
          <wp:extent cx="698500" cy="698500"/>
          <wp:effectExtent l="19050" t="0" r="6350" b="0"/>
          <wp:docPr id="1" name="Immagine 1" descr="logo_co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m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005B" w:rsidRDefault="00A9005B" w:rsidP="0037009B">
    <w:pPr>
      <w:spacing w:after="0" w:line="240" w:lineRule="auto"/>
      <w:jc w:val="center"/>
      <w:rPr>
        <w:rFonts w:ascii="Times New Roman" w:hAnsi="Times New Roman"/>
        <w:b/>
        <w:i/>
        <w:sz w:val="48"/>
        <w:szCs w:val="48"/>
      </w:rPr>
    </w:pPr>
    <w:r w:rsidRPr="00A55A5C">
      <w:rPr>
        <w:rFonts w:ascii="Times New Roman" w:hAnsi="Times New Roman"/>
        <w:b/>
        <w:i/>
        <w:sz w:val="48"/>
        <w:szCs w:val="48"/>
      </w:rPr>
      <w:t>CITT</w:t>
    </w:r>
    <w:r>
      <w:rPr>
        <w:rFonts w:ascii="Times New Roman" w:hAnsi="Times New Roman"/>
        <w:b/>
        <w:i/>
        <w:sz w:val="48"/>
        <w:szCs w:val="48"/>
      </w:rPr>
      <w:t>À</w:t>
    </w:r>
    <w:r w:rsidRPr="00A55A5C">
      <w:rPr>
        <w:rFonts w:ascii="Times New Roman" w:hAnsi="Times New Roman"/>
        <w:b/>
        <w:i/>
        <w:sz w:val="48"/>
        <w:szCs w:val="48"/>
      </w:rPr>
      <w:t xml:space="preserve"> </w:t>
    </w:r>
    <w:proofErr w:type="spellStart"/>
    <w:r w:rsidRPr="00A55A5C">
      <w:rPr>
        <w:rFonts w:ascii="Times New Roman" w:hAnsi="Times New Roman"/>
        <w:b/>
        <w:i/>
        <w:sz w:val="48"/>
        <w:szCs w:val="48"/>
      </w:rPr>
      <w:t>DI</w:t>
    </w:r>
    <w:proofErr w:type="spellEnd"/>
    <w:r w:rsidRPr="00A55A5C">
      <w:rPr>
        <w:rFonts w:ascii="Times New Roman" w:hAnsi="Times New Roman"/>
        <w:b/>
        <w:i/>
        <w:sz w:val="48"/>
        <w:szCs w:val="48"/>
      </w:rPr>
      <w:t xml:space="preserve"> REGGIO CALABRIA</w:t>
    </w:r>
  </w:p>
  <w:p w:rsidR="00A9005B" w:rsidRDefault="00A9005B" w:rsidP="00556A30">
    <w:pPr>
      <w:spacing w:after="0" w:line="240" w:lineRule="auto"/>
      <w:rPr>
        <w:rFonts w:ascii="Times New Roman" w:hAnsi="Times New Roman"/>
        <w:b/>
        <w:i/>
        <w:sz w:val="24"/>
        <w:szCs w:val="24"/>
      </w:rPr>
    </w:pPr>
  </w:p>
  <w:p w:rsidR="00A9005B" w:rsidRPr="0068655B" w:rsidRDefault="00A9005B" w:rsidP="00556A30">
    <w:pPr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  <w:r w:rsidRPr="0068655B">
      <w:rPr>
        <w:rFonts w:ascii="Times New Roman" w:hAnsi="Times New Roman"/>
        <w:b/>
        <w:i/>
        <w:sz w:val="24"/>
        <w:szCs w:val="24"/>
      </w:rPr>
      <w:t>ASSESSORATO PIANIFICAZIONE DELLO SVILUPPO URBANO SOSTENIBILE - TRASPORTI E MOBILIT</w:t>
    </w:r>
    <w:r>
      <w:rPr>
        <w:rFonts w:ascii="Times New Roman" w:hAnsi="Times New Roman"/>
        <w:b/>
        <w:i/>
        <w:sz w:val="24"/>
        <w:szCs w:val="24"/>
      </w:rPr>
      <w:t xml:space="preserve">À </w:t>
    </w:r>
    <w:r w:rsidRPr="0068655B">
      <w:rPr>
        <w:rFonts w:ascii="Times New Roman" w:hAnsi="Times New Roman"/>
        <w:b/>
        <w:i/>
        <w:sz w:val="24"/>
        <w:szCs w:val="24"/>
      </w:rPr>
      <w:t>- SMART CITY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ED0"/>
    <w:multiLevelType w:val="hybridMultilevel"/>
    <w:tmpl w:val="8B9C4716"/>
    <w:lvl w:ilvl="0" w:tplc="EAE859B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2A7E"/>
    <w:multiLevelType w:val="hybridMultilevel"/>
    <w:tmpl w:val="48F6969E"/>
    <w:lvl w:ilvl="0" w:tplc="EAE859B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E5075"/>
    <w:multiLevelType w:val="hybridMultilevel"/>
    <w:tmpl w:val="BC964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6945"/>
    <w:multiLevelType w:val="multilevel"/>
    <w:tmpl w:val="AC40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E1C18"/>
    <w:multiLevelType w:val="hybridMultilevel"/>
    <w:tmpl w:val="FBAA4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7307"/>
    <w:multiLevelType w:val="hybridMultilevel"/>
    <w:tmpl w:val="5C70A6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8E2F5D"/>
    <w:multiLevelType w:val="hybridMultilevel"/>
    <w:tmpl w:val="A4865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94F15"/>
    <w:multiLevelType w:val="hybridMultilevel"/>
    <w:tmpl w:val="2918C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93999"/>
    <w:multiLevelType w:val="hybridMultilevel"/>
    <w:tmpl w:val="D54E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F34E8"/>
    <w:multiLevelType w:val="hybridMultilevel"/>
    <w:tmpl w:val="CB1EB54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DC659A8"/>
    <w:multiLevelType w:val="hybridMultilevel"/>
    <w:tmpl w:val="972A9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B1A"/>
    <w:rsid w:val="000003C7"/>
    <w:rsid w:val="000067DC"/>
    <w:rsid w:val="00017698"/>
    <w:rsid w:val="000360A6"/>
    <w:rsid w:val="00042BED"/>
    <w:rsid w:val="000441F0"/>
    <w:rsid w:val="00056B39"/>
    <w:rsid w:val="000647C1"/>
    <w:rsid w:val="000678CE"/>
    <w:rsid w:val="0007427D"/>
    <w:rsid w:val="00075088"/>
    <w:rsid w:val="000758BA"/>
    <w:rsid w:val="000820CA"/>
    <w:rsid w:val="00084DB7"/>
    <w:rsid w:val="00093438"/>
    <w:rsid w:val="00095507"/>
    <w:rsid w:val="000A24C8"/>
    <w:rsid w:val="000B3397"/>
    <w:rsid w:val="000B5DDA"/>
    <w:rsid w:val="000C58CC"/>
    <w:rsid w:val="000D5DBA"/>
    <w:rsid w:val="0010157F"/>
    <w:rsid w:val="00102F38"/>
    <w:rsid w:val="0010791C"/>
    <w:rsid w:val="0012403E"/>
    <w:rsid w:val="001245CE"/>
    <w:rsid w:val="001256E5"/>
    <w:rsid w:val="001419C5"/>
    <w:rsid w:val="00143532"/>
    <w:rsid w:val="00154A3B"/>
    <w:rsid w:val="001652B0"/>
    <w:rsid w:val="001669EB"/>
    <w:rsid w:val="00182A08"/>
    <w:rsid w:val="001D3B1D"/>
    <w:rsid w:val="00207877"/>
    <w:rsid w:val="002276C5"/>
    <w:rsid w:val="00227710"/>
    <w:rsid w:val="002334AF"/>
    <w:rsid w:val="00260651"/>
    <w:rsid w:val="00260D7F"/>
    <w:rsid w:val="002660CD"/>
    <w:rsid w:val="002A02D4"/>
    <w:rsid w:val="002A0E7E"/>
    <w:rsid w:val="002C5B16"/>
    <w:rsid w:val="002E05A6"/>
    <w:rsid w:val="002E3420"/>
    <w:rsid w:val="002E70B5"/>
    <w:rsid w:val="002F07C8"/>
    <w:rsid w:val="002F4940"/>
    <w:rsid w:val="00315C4F"/>
    <w:rsid w:val="003232B6"/>
    <w:rsid w:val="003432C6"/>
    <w:rsid w:val="00356D05"/>
    <w:rsid w:val="00361E39"/>
    <w:rsid w:val="0037009B"/>
    <w:rsid w:val="0037584A"/>
    <w:rsid w:val="00377C4C"/>
    <w:rsid w:val="0039156E"/>
    <w:rsid w:val="0039391B"/>
    <w:rsid w:val="003A7627"/>
    <w:rsid w:val="003B3E46"/>
    <w:rsid w:val="003D4A2C"/>
    <w:rsid w:val="003F10B8"/>
    <w:rsid w:val="0040014A"/>
    <w:rsid w:val="00413915"/>
    <w:rsid w:val="0042596B"/>
    <w:rsid w:val="004425E6"/>
    <w:rsid w:val="00451B17"/>
    <w:rsid w:val="0045688E"/>
    <w:rsid w:val="00472406"/>
    <w:rsid w:val="00476FE7"/>
    <w:rsid w:val="00480F93"/>
    <w:rsid w:val="004831AE"/>
    <w:rsid w:val="0048661E"/>
    <w:rsid w:val="004947D0"/>
    <w:rsid w:val="004974FA"/>
    <w:rsid w:val="004A7739"/>
    <w:rsid w:val="004A7A04"/>
    <w:rsid w:val="004B74D9"/>
    <w:rsid w:val="004C2AE6"/>
    <w:rsid w:val="004D4EE0"/>
    <w:rsid w:val="004E2EA7"/>
    <w:rsid w:val="004E7A70"/>
    <w:rsid w:val="004F14A9"/>
    <w:rsid w:val="004F3CE4"/>
    <w:rsid w:val="00522951"/>
    <w:rsid w:val="005267B7"/>
    <w:rsid w:val="005368E2"/>
    <w:rsid w:val="005373A2"/>
    <w:rsid w:val="00544F90"/>
    <w:rsid w:val="00556788"/>
    <w:rsid w:val="00556A30"/>
    <w:rsid w:val="005601D3"/>
    <w:rsid w:val="00564757"/>
    <w:rsid w:val="00577CA6"/>
    <w:rsid w:val="00580241"/>
    <w:rsid w:val="00581DC2"/>
    <w:rsid w:val="005909C4"/>
    <w:rsid w:val="005A3A72"/>
    <w:rsid w:val="005A4B02"/>
    <w:rsid w:val="005B5090"/>
    <w:rsid w:val="005C78FE"/>
    <w:rsid w:val="005E07B2"/>
    <w:rsid w:val="005E0B45"/>
    <w:rsid w:val="005E558F"/>
    <w:rsid w:val="005F4CA8"/>
    <w:rsid w:val="005F7EF5"/>
    <w:rsid w:val="00606DC8"/>
    <w:rsid w:val="00620657"/>
    <w:rsid w:val="00633A69"/>
    <w:rsid w:val="00655B5E"/>
    <w:rsid w:val="00656694"/>
    <w:rsid w:val="006854E9"/>
    <w:rsid w:val="0068655B"/>
    <w:rsid w:val="0069625F"/>
    <w:rsid w:val="006A2E4E"/>
    <w:rsid w:val="006C63EB"/>
    <w:rsid w:val="006C6650"/>
    <w:rsid w:val="006E503B"/>
    <w:rsid w:val="006E7139"/>
    <w:rsid w:val="006F3EA0"/>
    <w:rsid w:val="00714B29"/>
    <w:rsid w:val="00720D12"/>
    <w:rsid w:val="007379FF"/>
    <w:rsid w:val="00753F69"/>
    <w:rsid w:val="00775265"/>
    <w:rsid w:val="00797161"/>
    <w:rsid w:val="007971C1"/>
    <w:rsid w:val="007A2646"/>
    <w:rsid w:val="007A7D6C"/>
    <w:rsid w:val="007B00D0"/>
    <w:rsid w:val="007B7B40"/>
    <w:rsid w:val="007C4749"/>
    <w:rsid w:val="007E09C9"/>
    <w:rsid w:val="007E2D99"/>
    <w:rsid w:val="007F05D4"/>
    <w:rsid w:val="007F7719"/>
    <w:rsid w:val="008005A0"/>
    <w:rsid w:val="0080093F"/>
    <w:rsid w:val="00802942"/>
    <w:rsid w:val="008231DC"/>
    <w:rsid w:val="008266C6"/>
    <w:rsid w:val="0083093A"/>
    <w:rsid w:val="008335D2"/>
    <w:rsid w:val="008342E9"/>
    <w:rsid w:val="00837FF8"/>
    <w:rsid w:val="00842A5B"/>
    <w:rsid w:val="008442C4"/>
    <w:rsid w:val="00854D95"/>
    <w:rsid w:val="008566A4"/>
    <w:rsid w:val="00866FCA"/>
    <w:rsid w:val="0087639B"/>
    <w:rsid w:val="0089404D"/>
    <w:rsid w:val="00894A6C"/>
    <w:rsid w:val="00895210"/>
    <w:rsid w:val="008C1BC8"/>
    <w:rsid w:val="008E0FEA"/>
    <w:rsid w:val="00925E34"/>
    <w:rsid w:val="009413B7"/>
    <w:rsid w:val="0094759C"/>
    <w:rsid w:val="00952877"/>
    <w:rsid w:val="00954B40"/>
    <w:rsid w:val="009649A5"/>
    <w:rsid w:val="00980070"/>
    <w:rsid w:val="00997070"/>
    <w:rsid w:val="009A4BED"/>
    <w:rsid w:val="009A7C4D"/>
    <w:rsid w:val="009C2A1F"/>
    <w:rsid w:val="009D71D5"/>
    <w:rsid w:val="00A13065"/>
    <w:rsid w:val="00A16BDC"/>
    <w:rsid w:val="00A2255E"/>
    <w:rsid w:val="00A400D6"/>
    <w:rsid w:val="00A51F95"/>
    <w:rsid w:val="00A54ECD"/>
    <w:rsid w:val="00A6474E"/>
    <w:rsid w:val="00A734A0"/>
    <w:rsid w:val="00A84768"/>
    <w:rsid w:val="00A9005B"/>
    <w:rsid w:val="00A9348C"/>
    <w:rsid w:val="00A95C2A"/>
    <w:rsid w:val="00AA7A34"/>
    <w:rsid w:val="00AB5F2D"/>
    <w:rsid w:val="00AE08FE"/>
    <w:rsid w:val="00AE116E"/>
    <w:rsid w:val="00AE17B6"/>
    <w:rsid w:val="00B02A65"/>
    <w:rsid w:val="00B077B2"/>
    <w:rsid w:val="00B126C6"/>
    <w:rsid w:val="00B350F5"/>
    <w:rsid w:val="00B36104"/>
    <w:rsid w:val="00B36A29"/>
    <w:rsid w:val="00B415EA"/>
    <w:rsid w:val="00B43187"/>
    <w:rsid w:val="00B61EF2"/>
    <w:rsid w:val="00B73F7B"/>
    <w:rsid w:val="00B76400"/>
    <w:rsid w:val="00BB327B"/>
    <w:rsid w:val="00BB5493"/>
    <w:rsid w:val="00BB5E38"/>
    <w:rsid w:val="00BC4851"/>
    <w:rsid w:val="00BC49E3"/>
    <w:rsid w:val="00BD07E7"/>
    <w:rsid w:val="00BD21E1"/>
    <w:rsid w:val="00BD2341"/>
    <w:rsid w:val="00BD2942"/>
    <w:rsid w:val="00BE0193"/>
    <w:rsid w:val="00BE10B8"/>
    <w:rsid w:val="00BF0A88"/>
    <w:rsid w:val="00C06DCA"/>
    <w:rsid w:val="00C12BDA"/>
    <w:rsid w:val="00C2017E"/>
    <w:rsid w:val="00C22EFE"/>
    <w:rsid w:val="00C3410E"/>
    <w:rsid w:val="00C44567"/>
    <w:rsid w:val="00C54EBB"/>
    <w:rsid w:val="00C647E0"/>
    <w:rsid w:val="00C73BA5"/>
    <w:rsid w:val="00C776EA"/>
    <w:rsid w:val="00C77889"/>
    <w:rsid w:val="00C86981"/>
    <w:rsid w:val="00C8709E"/>
    <w:rsid w:val="00C961B6"/>
    <w:rsid w:val="00C9625D"/>
    <w:rsid w:val="00CA23BF"/>
    <w:rsid w:val="00CA5C3F"/>
    <w:rsid w:val="00CA5FF5"/>
    <w:rsid w:val="00CB587A"/>
    <w:rsid w:val="00CD2752"/>
    <w:rsid w:val="00CE52A1"/>
    <w:rsid w:val="00CF1FC8"/>
    <w:rsid w:val="00CF2AB3"/>
    <w:rsid w:val="00CF603D"/>
    <w:rsid w:val="00D017F2"/>
    <w:rsid w:val="00D01EF5"/>
    <w:rsid w:val="00D17C8A"/>
    <w:rsid w:val="00D221CE"/>
    <w:rsid w:val="00D31060"/>
    <w:rsid w:val="00D336BD"/>
    <w:rsid w:val="00D4504E"/>
    <w:rsid w:val="00D5459B"/>
    <w:rsid w:val="00D565DD"/>
    <w:rsid w:val="00D6080B"/>
    <w:rsid w:val="00D66128"/>
    <w:rsid w:val="00D7042A"/>
    <w:rsid w:val="00D73A39"/>
    <w:rsid w:val="00D76134"/>
    <w:rsid w:val="00D76C9B"/>
    <w:rsid w:val="00D81C5C"/>
    <w:rsid w:val="00D87444"/>
    <w:rsid w:val="00D9398C"/>
    <w:rsid w:val="00D94CB5"/>
    <w:rsid w:val="00DA3938"/>
    <w:rsid w:val="00DB1594"/>
    <w:rsid w:val="00DB159A"/>
    <w:rsid w:val="00DB497C"/>
    <w:rsid w:val="00DC25BC"/>
    <w:rsid w:val="00DD04B1"/>
    <w:rsid w:val="00DE7B34"/>
    <w:rsid w:val="00E011CB"/>
    <w:rsid w:val="00E03202"/>
    <w:rsid w:val="00E13B1A"/>
    <w:rsid w:val="00E14DB7"/>
    <w:rsid w:val="00E16693"/>
    <w:rsid w:val="00E22144"/>
    <w:rsid w:val="00E27228"/>
    <w:rsid w:val="00E354E1"/>
    <w:rsid w:val="00E41605"/>
    <w:rsid w:val="00E465C3"/>
    <w:rsid w:val="00E73C1C"/>
    <w:rsid w:val="00EB3D3F"/>
    <w:rsid w:val="00EB4EC8"/>
    <w:rsid w:val="00EB76C7"/>
    <w:rsid w:val="00ED4A1D"/>
    <w:rsid w:val="00EE1D6D"/>
    <w:rsid w:val="00F209C8"/>
    <w:rsid w:val="00F21025"/>
    <w:rsid w:val="00F224F0"/>
    <w:rsid w:val="00F22884"/>
    <w:rsid w:val="00F32347"/>
    <w:rsid w:val="00F35510"/>
    <w:rsid w:val="00F362B6"/>
    <w:rsid w:val="00F40D41"/>
    <w:rsid w:val="00F4397F"/>
    <w:rsid w:val="00F43DAF"/>
    <w:rsid w:val="00F512D5"/>
    <w:rsid w:val="00F52993"/>
    <w:rsid w:val="00F72112"/>
    <w:rsid w:val="00F74A6C"/>
    <w:rsid w:val="00F74AD0"/>
    <w:rsid w:val="00F95233"/>
    <w:rsid w:val="00FA1B27"/>
    <w:rsid w:val="00FB3080"/>
    <w:rsid w:val="00FB51F0"/>
    <w:rsid w:val="00FB52E3"/>
    <w:rsid w:val="00FC3ED3"/>
    <w:rsid w:val="00FC4900"/>
    <w:rsid w:val="00FC664E"/>
    <w:rsid w:val="00FD5B89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97F"/>
    <w:pPr>
      <w:spacing w:after="160" w:line="259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4A3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3432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3B1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B1A"/>
  </w:style>
  <w:style w:type="paragraph" w:styleId="Pidipagina">
    <w:name w:val="footer"/>
    <w:basedOn w:val="Normale"/>
    <w:link w:val="PidipaginaCarattere"/>
    <w:uiPriority w:val="99"/>
    <w:unhideWhenUsed/>
    <w:rsid w:val="00E13B1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B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B1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B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7877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3432C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432C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432C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64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44F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79716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97161"/>
    <w:pPr>
      <w:spacing w:after="200" w:line="276" w:lineRule="auto"/>
    </w:pPr>
    <w:rPr>
      <w:rFonts w:ascii="Times New Roman" w:eastAsia="Times New Roman" w:hAnsi="Times New Roman"/>
      <w:spacing w:val="-2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97161"/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4A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51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398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96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8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97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t.wikipedia.org/wiki/Extract,_transform,_load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it.ckan.net/dataset/new" TargetMode="External"/><Relationship Id="rId39" Type="http://schemas.openxmlformats.org/officeDocument/2006/relationships/hyperlink" Target="http://www.digitpa.gov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Hackathon" TargetMode="External"/><Relationship Id="rId34" Type="http://schemas.openxmlformats.org/officeDocument/2006/relationships/hyperlink" Target="http://www.normattiva.it/uri-res/N2Ls?urn:nir:stato:decreto.legislativo:2009-10-27;150!vig" TargetMode="External"/><Relationship Id="rId42" Type="http://schemas.openxmlformats.org/officeDocument/2006/relationships/hyperlink" Target="http://www.funzionepubblica.gov.it/lazione-del-ministro/linee-guida-siti-web-pa.aspx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creativecommons.org/about/cc0" TargetMode="External"/><Relationship Id="rId17" Type="http://schemas.openxmlformats.org/officeDocument/2006/relationships/hyperlink" Target="http://opendatacommons.org/licenses/odbl/summary/" TargetMode="External"/><Relationship Id="rId25" Type="http://schemas.openxmlformats.org/officeDocument/2006/relationships/hyperlink" Target="http://www.opendata.provincia.roma.it/" TargetMode="External"/><Relationship Id="rId33" Type="http://schemas.openxmlformats.org/officeDocument/2006/relationships/hyperlink" Target="http://www.normattiva.it/uri-res/N2Ls?urn:nir:stato:decreto.legislativo:2006-01-24;36!vig" TargetMode="External"/><Relationship Id="rId38" Type="http://schemas.openxmlformats.org/officeDocument/2006/relationships/hyperlink" Target="http://www.normattiva.it/uri-res/N2Ls?urn:nir:stato:legge:2012;221!vig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pendatacommons.org/licenses/by/summary/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www.interlex.it/testi/l41_633.htm" TargetMode="External"/><Relationship Id="rId41" Type="http://schemas.openxmlformats.org/officeDocument/2006/relationships/hyperlink" Target="http://www.garanteprivacy.it/web/guest/home/docweb/-/docweb-display/docweb/17932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ndefinition.org/guide/data/#EU" TargetMode="External"/><Relationship Id="rId24" Type="http://schemas.openxmlformats.org/officeDocument/2006/relationships/hyperlink" Target="http://www.appsforitaly.org/shortlist/" TargetMode="External"/><Relationship Id="rId32" Type="http://schemas.openxmlformats.org/officeDocument/2006/relationships/hyperlink" Target="http://www.normattiva.it/uri-res/N2Ls?urn:nir:stato:decreto.legislativo:2005-03-07;82!vig" TargetMode="External"/><Relationship Id="rId37" Type="http://schemas.openxmlformats.org/officeDocument/2006/relationships/hyperlink" Target="http://www.normattiva.it/uri-res/N2Ls?urn:nir:stato:decreto.legislativo:2010-12-30;235!vig" TargetMode="External"/><Relationship Id="rId40" Type="http://schemas.openxmlformats.org/officeDocument/2006/relationships/hyperlink" Target="http://eur-lex.europa.eu/LexUriServ/LexUriServ.do?uri=OJ:L:2013:175:0001:0008:IT:PDF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w3.org/TR/void/" TargetMode="External"/><Relationship Id="rId23" Type="http://schemas.openxmlformats.org/officeDocument/2006/relationships/hyperlink" Target="http://www.appsfordemocracy.org/" TargetMode="External"/><Relationship Id="rId28" Type="http://schemas.openxmlformats.org/officeDocument/2006/relationships/hyperlink" Target="https://it.wikipedia.org/wiki/Controllo_versione" TargetMode="External"/><Relationship Id="rId36" Type="http://schemas.openxmlformats.org/officeDocument/2006/relationships/hyperlink" Target="https://it.wikipedia.org/wiki/Open_government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it.piwik.org/" TargetMode="External"/><Relationship Id="rId31" Type="http://schemas.openxmlformats.org/officeDocument/2006/relationships/hyperlink" Target="http://www.normattiva.it/uri-res/N2Ls?urn:nir:stato:decreto.legislativo:2003-06-30;196!vig" TargetMode="External"/><Relationship Id="rId44" Type="http://schemas.openxmlformats.org/officeDocument/2006/relationships/hyperlink" Target="http://www.scribd.com/doc/55159307/Come-Si-Fa-Opendata-Ver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w3.org/TR/vocab-dcat/" TargetMode="External"/><Relationship Id="rId22" Type="http://schemas.openxmlformats.org/officeDocument/2006/relationships/hyperlink" Target="http://opengovdata.io/2012-02/page/2/civic-hacking-example" TargetMode="External"/><Relationship Id="rId27" Type="http://schemas.openxmlformats.org/officeDocument/2006/relationships/hyperlink" Target="http://www.spaghettiopendata.org/" TargetMode="External"/><Relationship Id="rId30" Type="http://schemas.openxmlformats.org/officeDocument/2006/relationships/hyperlink" Target="http://www.normattiva.it/uri-res/N2Ls?urn:nir:stato:legge:1990-08-07;241!vig" TargetMode="External"/><Relationship Id="rId35" Type="http://schemas.openxmlformats.org/officeDocument/2006/relationships/hyperlink" Target="http://www.civit.it/?p=2182" TargetMode="External"/><Relationship Id="rId43" Type="http://schemas.openxmlformats.org/officeDocument/2006/relationships/hyperlink" Target="http://www.funzionepubblica.gov.it/media/982175/vademecumopendata.pdf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40</Pages>
  <Words>15501</Words>
  <Characters>88359</Characters>
  <Application>Microsoft Office Word</Application>
  <DocSecurity>0</DocSecurity>
  <Lines>736</Lines>
  <Paragraphs>207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Agata</cp:lastModifiedBy>
  <cp:revision>80</cp:revision>
  <cp:lastPrinted>2015-02-16T09:20:00Z</cp:lastPrinted>
  <dcterms:created xsi:type="dcterms:W3CDTF">2015-01-29T11:06:00Z</dcterms:created>
  <dcterms:modified xsi:type="dcterms:W3CDTF">2015-05-31T16:35:00Z</dcterms:modified>
</cp:coreProperties>
</file>